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0A6E3F" w14:textId="77777777" w:rsidR="00805F0C" w:rsidRPr="00805F0C" w:rsidRDefault="00805F0C" w:rsidP="00805F0C">
      <w:r w:rsidRPr="00805F0C">
        <w:t>Liebe Mitglieder,</w:t>
      </w:r>
    </w:p>
    <w:p w14:paraId="11E3030A" w14:textId="56516BA1" w:rsidR="00805F0C" w:rsidRPr="00805F0C" w:rsidRDefault="00805F0C" w:rsidP="00805F0C">
      <w:r w:rsidRPr="00805F0C">
        <w:t xml:space="preserve">der Bundestag hat am 6. Juni 2024 die Novelle des Bundes-Immissionsschutzgesetzes (BImSchG) beschlossen. Am 14. Juni hat das Gesetz auch den Bundesrat passiert. Mit dem Gesetz sollen schnellere und unbürokratischere Verfahren geschaffen und so Genehmigungsverfahren beschleunigt werden. Das Gesetz ist am 9. Juli 2024 in Kraft getreten. </w:t>
      </w:r>
    </w:p>
    <w:p w14:paraId="6EB56985" w14:textId="0C9AD8CE" w:rsidR="00805F0C" w:rsidRPr="00805F0C" w:rsidRDefault="00805F0C" w:rsidP="00805F0C">
      <w:r w:rsidRPr="00805F0C">
        <w:rPr>
          <w:b/>
          <w:bCs/>
        </w:rPr>
        <w:t>Für EE-Anlagen, unter die auch TAB fallen, gibt es danach einen relevanten Vorteil bezüglich der Fristenregelungen:</w:t>
      </w:r>
      <w:r w:rsidRPr="00805F0C">
        <w:t xml:space="preserve"> Über den Genehmigungsantrag entscheidet die Behörde auf Grundlage der</w:t>
      </w:r>
      <w:r w:rsidRPr="00805F0C">
        <w:rPr>
          <w:b/>
          <w:bCs/>
        </w:rPr>
        <w:t xml:space="preserve"> geltenden Sach- und Rechtslage zum Zeitpunkt des Fristablaufs der Behördenbeteiligung (= 1 Monat</w:t>
      </w:r>
      <w:r w:rsidRPr="00805F0C">
        <w:t xml:space="preserve"> nach Beteiligung der Behörden ohne Möglichkeit einer weiteren Verlängerung dieser Frist).  Nur bis zu diesem Zeitpunkt müssen Antragsunterlagen an sich ändernde Sach- und Rechtslagen angepasst / aktualisiert werden. </w:t>
      </w:r>
      <w:r w:rsidRPr="00805F0C">
        <w:rPr>
          <w:b/>
          <w:bCs/>
        </w:rPr>
        <w:t xml:space="preserve">Vorher </w:t>
      </w:r>
      <w:r w:rsidRPr="00805F0C">
        <w:t xml:space="preserve">mussten die Unterlagen </w:t>
      </w:r>
      <w:proofErr w:type="spellStart"/>
      <w:r w:rsidRPr="00805F0C">
        <w:t>grds</w:t>
      </w:r>
      <w:proofErr w:type="spellEnd"/>
      <w:r w:rsidRPr="00805F0C">
        <w:t xml:space="preserve">. </w:t>
      </w:r>
      <w:r w:rsidRPr="00805F0C">
        <w:rPr>
          <w:b/>
          <w:bCs/>
        </w:rPr>
        <w:t>bis zum Genehmigungszeitpunkt aktuell gehalten</w:t>
      </w:r>
      <w:r w:rsidRPr="00805F0C">
        <w:t xml:space="preserve"> werden.</w:t>
      </w:r>
    </w:p>
    <w:p w14:paraId="409DFEEA" w14:textId="77777777" w:rsidR="00805F0C" w:rsidRPr="00805F0C" w:rsidRDefault="00805F0C" w:rsidP="00805F0C">
      <w:pPr>
        <w:rPr>
          <w:b/>
          <w:bCs/>
        </w:rPr>
      </w:pPr>
      <w:r w:rsidRPr="00805F0C">
        <w:rPr>
          <w:b/>
          <w:bCs/>
        </w:rPr>
        <w:t xml:space="preserve">Zum Hintergrund: </w:t>
      </w:r>
    </w:p>
    <w:p w14:paraId="08492A8E" w14:textId="77777777" w:rsidR="00805F0C" w:rsidRPr="00805F0C" w:rsidRDefault="00805F0C" w:rsidP="00805F0C">
      <w:r w:rsidRPr="00805F0C">
        <w:t xml:space="preserve">Grundsätzlich müssen Antragsunterlagen – nach Bestätigung ihrer Vollständigkeit – für die Dauer von sieben Monaten aktuell gehalten werden (Anpassungen an ggfs. in diesem Zeitraum eintretende Änderungen der Sach- und Rechtslage) – siehe § 10 Absatz 6a BImSchG: </w:t>
      </w:r>
      <w:r w:rsidRPr="00805F0C">
        <w:rPr>
          <w:i/>
          <w:iCs/>
        </w:rPr>
        <w:t>„Über</w:t>
      </w:r>
      <w:r w:rsidRPr="00805F0C">
        <w:rPr>
          <w:b/>
          <w:bCs/>
          <w:i/>
          <w:iCs/>
        </w:rPr>
        <w:t xml:space="preserve"> </w:t>
      </w:r>
      <w:r w:rsidRPr="00805F0C">
        <w:rPr>
          <w:i/>
          <w:iCs/>
        </w:rPr>
        <w:t xml:space="preserve">den Genehmigungsantrag entscheidet die Behörde innerhalb einer Frist von </w:t>
      </w:r>
      <w:r w:rsidRPr="00805F0C">
        <w:rPr>
          <w:b/>
          <w:bCs/>
          <w:i/>
          <w:iCs/>
        </w:rPr>
        <w:t>7 Monaten“</w:t>
      </w:r>
      <w:r w:rsidRPr="00805F0C">
        <w:rPr>
          <w:i/>
          <w:iCs/>
        </w:rPr>
        <w:t xml:space="preserve"> </w:t>
      </w:r>
      <w:r w:rsidRPr="00805F0C">
        <w:t xml:space="preserve">(= </w:t>
      </w:r>
      <w:proofErr w:type="spellStart"/>
      <w:r w:rsidRPr="00805F0C">
        <w:t>grds</w:t>
      </w:r>
      <w:proofErr w:type="spellEnd"/>
      <w:r w:rsidRPr="00805F0C">
        <w:t xml:space="preserve">. maßgeblich geltende Sach- und Rechtslage bzw. maßgebliche Antragsunterlagen für die Entscheidung).  Die Behörde hat die Möglichkeit, diese Frist </w:t>
      </w:r>
      <w:proofErr w:type="gramStart"/>
      <w:r w:rsidRPr="00805F0C">
        <w:t>einmalig</w:t>
      </w:r>
      <w:proofErr w:type="gramEnd"/>
      <w:r w:rsidRPr="00805F0C">
        <w:t xml:space="preserve"> um bis zu 3 Monate zu verlängern.</w:t>
      </w:r>
    </w:p>
    <w:p w14:paraId="79F2515D" w14:textId="77777777" w:rsidR="00805F0C" w:rsidRPr="00805F0C" w:rsidRDefault="00805F0C" w:rsidP="00805F0C">
      <w:r w:rsidRPr="00805F0C">
        <w:t xml:space="preserve">Grundsätzliche Problemstellung: </w:t>
      </w:r>
      <w:r w:rsidRPr="00805F0C">
        <w:rPr>
          <w:b/>
          <w:bCs/>
        </w:rPr>
        <w:t>Antragsunterlagen</w:t>
      </w:r>
      <w:r w:rsidRPr="00805F0C">
        <w:t xml:space="preserve"> </w:t>
      </w:r>
      <w:r w:rsidRPr="00805F0C">
        <w:rPr>
          <w:b/>
          <w:bCs/>
        </w:rPr>
        <w:t>müssen</w:t>
      </w:r>
      <w:r w:rsidRPr="00805F0C">
        <w:t xml:space="preserve"> nach § 10 Absatz 6a BImSchG </w:t>
      </w:r>
      <w:proofErr w:type="spellStart"/>
      <w:r w:rsidRPr="00805F0C">
        <w:rPr>
          <w:b/>
          <w:bCs/>
        </w:rPr>
        <w:t>grds</w:t>
      </w:r>
      <w:proofErr w:type="spellEnd"/>
      <w:r w:rsidRPr="00805F0C">
        <w:rPr>
          <w:b/>
          <w:bCs/>
        </w:rPr>
        <w:t>. bis zum Genehmigungszeitpunkt aktuell gehalten werden</w:t>
      </w:r>
      <w:r w:rsidRPr="00805F0C">
        <w:t xml:space="preserve">. </w:t>
      </w:r>
    </w:p>
    <w:p w14:paraId="079566E2" w14:textId="2B7C1E18" w:rsidR="00805F0C" w:rsidRPr="00805F0C" w:rsidRDefault="00805F0C" w:rsidP="00805F0C">
      <w:r w:rsidRPr="00805F0C">
        <w:t>Dies führt innerhalb der langen Fristen (mind. 7 Monate) ggfs. zu einem zeitaufwendigen Nachreichen von Unterlagen aufgrund von Rechtsänderungen innerhalb dieser Fristen.</w:t>
      </w:r>
    </w:p>
    <w:p w14:paraId="4233FFA6" w14:textId="7B3D01E5" w:rsidR="00805F0C" w:rsidRPr="00805F0C" w:rsidRDefault="00805F0C" w:rsidP="00805F0C">
      <w:r w:rsidRPr="00805F0C">
        <w:rPr>
          <w:b/>
          <w:bCs/>
        </w:rPr>
        <w:t>Ausnahme</w:t>
      </w:r>
      <w:r w:rsidRPr="00805F0C">
        <w:t xml:space="preserve">: § 10 Absatz 5 Sätze 3 und 4 BImSchG (neu): Für </w:t>
      </w:r>
      <w:r w:rsidRPr="00805F0C">
        <w:rPr>
          <w:b/>
          <w:bCs/>
        </w:rPr>
        <w:t>Anlagen zur Nutzung erneuerbarer Energien</w:t>
      </w:r>
      <w:r w:rsidRPr="00805F0C">
        <w:t xml:space="preserve"> oder Anlagen zur Herstellung von Wasserstoff aus erneuerbaren Energien: </w:t>
      </w:r>
      <w:r w:rsidRPr="00805F0C">
        <w:rPr>
          <w:i/>
          <w:iCs/>
        </w:rPr>
        <w:t xml:space="preserve">„Über den Genehmigungsantrag entscheidet die Behörde </w:t>
      </w:r>
      <w:r w:rsidRPr="00805F0C">
        <w:rPr>
          <w:b/>
          <w:bCs/>
          <w:i/>
          <w:iCs/>
        </w:rPr>
        <w:t>auf Grundlage der geltenden Sach- und Rechtslage zum Zeitpunkt des Fristablaufs der Behördenbeteiligung“</w:t>
      </w:r>
      <w:r w:rsidRPr="00805F0C">
        <w:rPr>
          <w:b/>
          <w:bCs/>
        </w:rPr>
        <w:t xml:space="preserve"> (= 1 Monat</w:t>
      </w:r>
      <w:r w:rsidRPr="00805F0C">
        <w:t xml:space="preserve"> nach Beteiligung der Behörden ohne Möglichkeit einer weiteren Verlängerung dieser Frist).  </w:t>
      </w:r>
    </w:p>
    <w:p w14:paraId="31004009" w14:textId="539B4E97" w:rsidR="00805F0C" w:rsidRPr="00805F0C" w:rsidRDefault="00805F0C" w:rsidP="00805F0C">
      <w:r w:rsidRPr="00805F0C">
        <w:rPr>
          <w:b/>
          <w:bCs/>
        </w:rPr>
        <w:lastRenderedPageBreak/>
        <w:t>Interne rechtliche Bewertung:</w:t>
      </w:r>
      <w:r w:rsidRPr="00805F0C">
        <w:t xml:space="preserve"> </w:t>
      </w:r>
      <w:r w:rsidRPr="00805F0C">
        <w:rPr>
          <w:b/>
          <w:bCs/>
        </w:rPr>
        <w:t xml:space="preserve">TAB sind EE-Anlagen im Sinne des BImSchG. </w:t>
      </w:r>
      <w:r w:rsidRPr="00805F0C">
        <w:t>Daher gilt die „positive Frist“ des § 10 Absatz 5 Sätze 3 und 4 BImSchG.</w:t>
      </w:r>
    </w:p>
    <w:p w14:paraId="71A570C8" w14:textId="77777777" w:rsidR="00805F0C" w:rsidRPr="00805F0C" w:rsidRDefault="00805F0C" w:rsidP="00805F0C">
      <w:r w:rsidRPr="00805F0C">
        <w:rPr>
          <w:b/>
          <w:bCs/>
        </w:rPr>
        <w:t>Anlass / Hintergrund:</w:t>
      </w:r>
      <w:r w:rsidRPr="00805F0C">
        <w:t xml:space="preserve"> Die EUGH-Entscheidung (Mitgliederinfo vom 24.04.2023 und 07.06.2023) wonach TAB als EEG-Anlagen anerkannt worden sind.</w:t>
      </w:r>
    </w:p>
    <w:p w14:paraId="72E4AEDA" w14:textId="77777777" w:rsidR="00805F0C" w:rsidRPr="00805F0C" w:rsidRDefault="00805F0C" w:rsidP="00805F0C">
      <w:pPr>
        <w:rPr>
          <w:b/>
          <w:bCs/>
        </w:rPr>
      </w:pPr>
      <w:r w:rsidRPr="00805F0C">
        <w:rPr>
          <w:b/>
          <w:bCs/>
        </w:rPr>
        <w:t>Zu dem Urteil:</w:t>
      </w:r>
    </w:p>
    <w:p w14:paraId="4A14C753" w14:textId="77777777" w:rsidR="00805F0C" w:rsidRPr="00805F0C" w:rsidRDefault="00805F0C" w:rsidP="00805F0C">
      <w:pPr>
        <w:rPr>
          <w:i/>
          <w:iCs/>
        </w:rPr>
      </w:pPr>
      <w:r w:rsidRPr="00805F0C">
        <w:rPr>
          <w:i/>
          <w:iCs/>
        </w:rPr>
        <w:t xml:space="preserve">„MI 24.04.2023 - EuGH Urteil - TAB sind </w:t>
      </w:r>
      <w:proofErr w:type="gramStart"/>
      <w:r w:rsidRPr="00805F0C">
        <w:rPr>
          <w:i/>
          <w:iCs/>
        </w:rPr>
        <w:t>EEG Anlagen</w:t>
      </w:r>
      <w:proofErr w:type="gramEnd"/>
      <w:r w:rsidRPr="00805F0C">
        <w:rPr>
          <w:i/>
          <w:iCs/>
        </w:rPr>
        <w:t>:</w:t>
      </w:r>
    </w:p>
    <w:p w14:paraId="1A2F84CF" w14:textId="77777777" w:rsidR="00805F0C" w:rsidRPr="00805F0C" w:rsidRDefault="00805F0C" w:rsidP="00805F0C">
      <w:pPr>
        <w:rPr>
          <w:i/>
          <w:iCs/>
        </w:rPr>
      </w:pPr>
      <w:r w:rsidRPr="00805F0C">
        <w:rPr>
          <w:i/>
          <w:iCs/>
        </w:rPr>
        <w:t>zur Beurteilung von Fragen zum Strom-Einspeisevorrang hatte der Bundesgerichtshof (BGH) fünf Fragen an den EuGH übermittelt. Der EuGH hält im </w:t>
      </w:r>
      <w:hyperlink r:id="rId7" w:history="1">
        <w:r w:rsidRPr="00805F0C">
          <w:rPr>
            <w:rStyle w:val="Hyperlink"/>
            <w:i/>
            <w:iCs/>
          </w:rPr>
          <w:t>Urteil vom 20.04.2023</w:t>
        </w:r>
      </w:hyperlink>
      <w:r w:rsidRPr="00805F0C">
        <w:rPr>
          <w:i/>
          <w:iCs/>
        </w:rPr>
        <w:t> nun Folgendes fest: </w:t>
      </w:r>
    </w:p>
    <w:p w14:paraId="2C06C1E2" w14:textId="77777777" w:rsidR="00805F0C" w:rsidRPr="00805F0C" w:rsidRDefault="00805F0C" w:rsidP="00805F0C">
      <w:pPr>
        <w:numPr>
          <w:ilvl w:val="0"/>
          <w:numId w:val="7"/>
        </w:numPr>
        <w:rPr>
          <w:i/>
          <w:iCs/>
        </w:rPr>
      </w:pPr>
      <w:r w:rsidRPr="00805F0C">
        <w:rPr>
          <w:i/>
          <w:iCs/>
        </w:rPr>
        <w:t>der vorrangige Zugang zum Stromnetz für Stromerzeugungsanlagen, die erneuerbare Energiequellen einsetzen, ist nicht nur denjenigen Anlagen zu gewähren ist, die Strom ausschließlich aus erneuerbaren Energiequellen erzeugen, sondern auch solchen, die Strom sowohl aus erneuerbaren als auch aus herkömmlichen Energiequellen erzeugen.</w:t>
      </w:r>
    </w:p>
    <w:p w14:paraId="1A48B5EC" w14:textId="77777777" w:rsidR="00805F0C" w:rsidRPr="00805F0C" w:rsidRDefault="00805F0C" w:rsidP="00805F0C">
      <w:pPr>
        <w:numPr>
          <w:ilvl w:val="0"/>
          <w:numId w:val="7"/>
        </w:numPr>
        <w:rPr>
          <w:i/>
          <w:iCs/>
        </w:rPr>
      </w:pPr>
      <w:r w:rsidRPr="00805F0C">
        <w:rPr>
          <w:i/>
          <w:iCs/>
        </w:rPr>
        <w:t>Der EuGH hält fest, dass TAB mit der Verwertung des Abfalls sowohl erneuerbare (biogene), als auch herkömmliche (fossile) Energiequellen nutzen. Damit ergibt sich für TAB-Anlagen in Deutschland ein Einspeisevorrang </w:t>
      </w:r>
      <w:r w:rsidRPr="00805F0C">
        <w:rPr>
          <w:b/>
          <w:bCs/>
          <w:i/>
          <w:iCs/>
          <w:u w:val="single"/>
        </w:rPr>
        <w:t>für den biogenen Anteil</w:t>
      </w:r>
      <w:r w:rsidRPr="00805F0C">
        <w:rPr>
          <w:i/>
          <w:iCs/>
        </w:rPr>
        <w:t> nach den europarechtlichen Richtlinien und dem EEG. TAB sind nach der Entscheidung somit EEG-Anlagen, ohne dass eine Mindestmenge an Biomasse eingesetzt werden muss. Der BGH tendierte bisher dahin, dass man dafür zumindest dauerhaft mehr als 50% Biomasse einsetzen muss.</w:t>
      </w:r>
    </w:p>
    <w:p w14:paraId="7277E8C3" w14:textId="77777777" w:rsidR="00805F0C" w:rsidRPr="00805F0C" w:rsidRDefault="00805F0C" w:rsidP="00805F0C">
      <w:pPr>
        <w:numPr>
          <w:ilvl w:val="0"/>
          <w:numId w:val="7"/>
        </w:numPr>
        <w:rPr>
          <w:i/>
          <w:iCs/>
        </w:rPr>
      </w:pPr>
      <w:r w:rsidRPr="00805F0C">
        <w:rPr>
          <w:i/>
          <w:iCs/>
        </w:rPr>
        <w:t>Die Details – wie der Einspeisevorrang zu erfüllen ist – obliegen dem nationalen Gesetzgeber. Somit ist hier noch eine Klarstellung zu erwarten, wie z. B. im</w:t>
      </w:r>
      <w:hyperlink r:id="rId8" w:history="1">
        <w:r w:rsidRPr="00805F0C">
          <w:rPr>
            <w:rStyle w:val="Hyperlink"/>
            <w:i/>
            <w:iCs/>
          </w:rPr>
          <w:t> Leitfaden Stromkennzeichnung</w:t>
        </w:r>
      </w:hyperlink>
      <w:r w:rsidRPr="00805F0C">
        <w:rPr>
          <w:i/>
          <w:iCs/>
        </w:rPr>
        <w:t>.</w:t>
      </w:r>
    </w:p>
    <w:p w14:paraId="392EF870" w14:textId="3E4AA4B2" w:rsidR="00805F0C" w:rsidRPr="00805F0C" w:rsidRDefault="00805F0C" w:rsidP="00805F0C">
      <w:pPr>
        <w:rPr>
          <w:i/>
          <w:iCs/>
        </w:rPr>
      </w:pPr>
      <w:r w:rsidRPr="00805F0C">
        <w:rPr>
          <w:i/>
          <w:iCs/>
        </w:rPr>
        <w:t xml:space="preserve">Dieses Grundsatzurteil ist für die Branche sehr relevant, da nun höchstrichterlich entschieden wurde, das TAB EEG-Anlagen sind. Für das Strompreisbremsegesetz hilft die Entscheidung ebenfalls. TAB müssten danach als EEG-Anlagen </w:t>
      </w:r>
      <w:proofErr w:type="spellStart"/>
      <w:r w:rsidRPr="00805F0C">
        <w:rPr>
          <w:i/>
          <w:iCs/>
        </w:rPr>
        <w:t>i.S.d</w:t>
      </w:r>
      <w:proofErr w:type="spellEnd"/>
      <w:r w:rsidRPr="00805F0C">
        <w:rPr>
          <w:i/>
          <w:iCs/>
        </w:rPr>
        <w:t xml:space="preserve">. § 16 Abs. 1 Ziff. 4 </w:t>
      </w:r>
      <w:proofErr w:type="spellStart"/>
      <w:r w:rsidRPr="00805F0C">
        <w:rPr>
          <w:i/>
          <w:iCs/>
        </w:rPr>
        <w:t>StromPBG</w:t>
      </w:r>
      <w:proofErr w:type="spellEnd"/>
      <w:r w:rsidRPr="00805F0C">
        <w:rPr>
          <w:i/>
          <w:iCs/>
        </w:rPr>
        <w:t xml:space="preserve"> eingestuft werden, so dass der höhere Referenzpreis von 130 EUR/MWh gilt.“ </w:t>
      </w:r>
    </w:p>
    <w:p w14:paraId="74E12A9C" w14:textId="0822E8D3" w:rsidR="00805F0C" w:rsidRPr="00805F0C" w:rsidRDefault="00805F0C" w:rsidP="00805F0C">
      <w:r w:rsidRPr="00805F0C">
        <w:t xml:space="preserve">Da das BImSchG keine eigene Definition von EE-Anlagen beinhaltet, ist es – nach derzeitiger interner Rechtsauffassung – möglich, auf die o.g. Urteilbegründung zurückzugreifen mit der Folge, dass TAB auch nach BImSchG als EE-Anlage anzuerkennen sind mit der weitergehenden Folge, dass die „positive“ Fristenregelung nach § 10 Absatz 5 BImSchG für die Aktualisierung der Genehmigungsunterlagen maßgeblich ist. </w:t>
      </w:r>
    </w:p>
    <w:p w14:paraId="7D2C9DED" w14:textId="77777777" w:rsidR="00805F0C" w:rsidRPr="00805F0C" w:rsidRDefault="00805F0C" w:rsidP="00805F0C">
      <w:r w:rsidRPr="00805F0C">
        <w:lastRenderedPageBreak/>
        <w:t>Für Rückfragen stehen Ihnen Jasmin Klöckner und Dr. Bastian Wens gerne zur Verfügung.</w:t>
      </w:r>
    </w:p>
    <w:p w14:paraId="3009463D" w14:textId="4C279138" w:rsidR="004E20B9" w:rsidRDefault="00805F0C" w:rsidP="00805F0C">
      <w:r>
        <w:t>Mit freundlichen Grüßen</w:t>
      </w:r>
    </w:p>
    <w:p w14:paraId="4B7040FA" w14:textId="04991F82" w:rsidR="00805F0C" w:rsidRDefault="00805F0C" w:rsidP="00805F0C">
      <w:r>
        <w:t>Ihr ITAD-Team</w:t>
      </w:r>
    </w:p>
    <w:sectPr w:rsidR="00805F0C">
      <w:headerReference w:type="default" r:id="rId9"/>
      <w:footerReference w:type="default" r:id="rId10"/>
      <w:pgSz w:w="11906" w:h="16838"/>
      <w:pgMar w:top="1417" w:right="1417" w:bottom="1134"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E04B52" w14:textId="77777777" w:rsidR="00C10B00" w:rsidRDefault="00C10B00">
      <w:pPr>
        <w:spacing w:after="0" w:line="240" w:lineRule="auto"/>
      </w:pPr>
      <w:r>
        <w:separator/>
      </w:r>
    </w:p>
  </w:endnote>
  <w:endnote w:type="continuationSeparator" w:id="0">
    <w:p w14:paraId="4DA4C424" w14:textId="77777777" w:rsidR="00C10B00" w:rsidRDefault="00C10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EDB74" w14:textId="77777777" w:rsidR="00000000" w:rsidRDefault="00000000">
    <w:pPr>
      <w:pStyle w:val="Fuzeile"/>
    </w:pPr>
    <w:r>
      <w:tab/>
    </w:r>
  </w:p>
  <w:p w14:paraId="0A25EA4E" w14:textId="77777777" w:rsidR="00000000" w:rsidRDefault="00000000">
    <w:pPr>
      <w:pStyle w:val="Fuzeile"/>
    </w:pPr>
  </w:p>
  <w:p w14:paraId="6B9A5ADF" w14:textId="77777777" w:rsidR="00000000" w:rsidRDefault="00000000">
    <w:pPr>
      <w:pStyle w:val="Fuzeile"/>
    </w:pPr>
  </w:p>
  <w:p w14:paraId="1B9D011E" w14:textId="77777777" w:rsidR="00000000" w:rsidRDefault="00000000">
    <w:pPr>
      <w:pStyle w:val="Fuzeile"/>
    </w:pPr>
    <w:r>
      <w:tab/>
      <w:t xml:space="preserve">Seite </w:t>
    </w:r>
    <w:r>
      <w:fldChar w:fldCharType="begin"/>
    </w:r>
    <w:r>
      <w:instrText xml:space="preserve"> PAGE \* ARABIC </w:instrText>
    </w:r>
    <w:r>
      <w:fldChar w:fldCharType="separate"/>
    </w:r>
    <w:r>
      <w:t>2</w:t>
    </w:r>
    <w:r>
      <w:fldChar w:fldCharType="end"/>
    </w:r>
    <w:r>
      <w:t xml:space="preserve"> von </w:t>
    </w:r>
    <w:r>
      <w:fldChar w:fldCharType="begin"/>
    </w:r>
    <w:r>
      <w:instrText xml:space="preserve"> NUMPAGES </w:instrText>
    </w:r>
    <w:r>
      <w:fldChar w:fldCharType="separate"/>
    </w:r>
    <w:r>
      <w:t>2</w:t>
    </w:r>
    <w:r>
      <w:fldChar w:fldCharType="end"/>
    </w:r>
  </w:p>
  <w:p w14:paraId="7140A926" w14:textId="77777777" w:rsidR="00000000" w:rsidRDefault="0000000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93C31A" w14:textId="77777777" w:rsidR="00C10B00" w:rsidRDefault="00C10B00">
      <w:pPr>
        <w:spacing w:after="0" w:line="240" w:lineRule="auto"/>
      </w:pPr>
      <w:r>
        <w:rPr>
          <w:color w:val="000000"/>
        </w:rPr>
        <w:separator/>
      </w:r>
    </w:p>
  </w:footnote>
  <w:footnote w:type="continuationSeparator" w:id="0">
    <w:p w14:paraId="1015051C" w14:textId="77777777" w:rsidR="00C10B00" w:rsidRDefault="00C10B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245BF" w14:textId="3E2C053C" w:rsidR="00805F0C" w:rsidRDefault="00D8015E" w:rsidP="00805F0C">
    <w:pPr>
      <w:pStyle w:val="Titel"/>
    </w:pPr>
    <w:r>
      <w:rPr>
        <w:noProof/>
      </w:rPr>
      <w:drawing>
        <wp:anchor distT="0" distB="0" distL="114300" distR="114300" simplePos="0" relativeHeight="251659264" behindDoc="0" locked="0" layoutInCell="1" allowOverlap="1" wp14:anchorId="17248DF9" wp14:editId="30B4E780">
          <wp:simplePos x="0" y="0"/>
          <wp:positionH relativeFrom="margin">
            <wp:posOffset>3809365</wp:posOffset>
          </wp:positionH>
          <wp:positionV relativeFrom="margin">
            <wp:posOffset>-1686560</wp:posOffset>
          </wp:positionV>
          <wp:extent cx="2851785" cy="971550"/>
          <wp:effectExtent l="0" t="0" r="5085" b="0"/>
          <wp:wrapSquare wrapText="bothSides"/>
          <wp:docPr id="1129250080" name="Grafik 2" descr="Ein Bild, das Text, Schrift, Visitenkarte, Screensho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851785" cy="971550"/>
                  </a:xfrm>
                  <a:prstGeom prst="rect">
                    <a:avLst/>
                  </a:prstGeom>
                  <a:noFill/>
                  <a:ln>
                    <a:noFill/>
                    <a:prstDash/>
                  </a:ln>
                </pic:spPr>
              </pic:pic>
            </a:graphicData>
          </a:graphic>
        </wp:anchor>
      </w:drawing>
    </w:r>
    <w:sdt>
      <w:sdtPr>
        <w:id w:val="1727184227"/>
        <w:docPartObj>
          <w:docPartGallery w:val="Watermarks"/>
          <w:docPartUnique/>
        </w:docPartObj>
      </w:sdtPr>
      <w:sdtContent>
        <w:r w:rsidR="00805F0C">
          <w:pict w14:anchorId="6C3070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ENTWURF"/>
              <w10:wrap anchorx="margin" anchory="margin"/>
            </v:shape>
          </w:pict>
        </w:r>
      </w:sdtContent>
    </w:sdt>
    <w:r w:rsidR="00805F0C">
      <w:t xml:space="preserve">[Betriebsführung] Novelle BImSchG- Erleichterte Fristen-Regelung für </w:t>
    </w:r>
  </w:p>
  <w:p w14:paraId="6D8D5E89" w14:textId="77777777" w:rsidR="00D8015E" w:rsidRDefault="00805F0C" w:rsidP="00805F0C">
    <w:pPr>
      <w:pStyle w:val="Titel"/>
    </w:pPr>
    <w:r>
      <w:t xml:space="preserve">EE-Anlagen bzgl. Aktualität </w:t>
    </w:r>
  </w:p>
  <w:p w14:paraId="756F7E21" w14:textId="5B01C271" w:rsidR="00805F0C" w:rsidRPr="00805F0C" w:rsidRDefault="00805F0C" w:rsidP="00805F0C">
    <w:pPr>
      <w:pStyle w:val="Titel"/>
    </w:pPr>
    <w:r>
      <w:t>Genehmigungsunterlagen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F208C"/>
    <w:multiLevelType w:val="multilevel"/>
    <w:tmpl w:val="815C0B0A"/>
    <w:styleLink w:val="LFO5"/>
    <w:lvl w:ilvl="0">
      <w:start w:val="1"/>
      <w:numFmt w:val="decimal"/>
      <w:pStyle w:val="1NummerierteListe"/>
      <w:lvlText w:val="%1."/>
      <w:lvlJc w:val="left"/>
      <w:pPr>
        <w:ind w:left="2138" w:hanging="360"/>
      </w:pPr>
    </w:lvl>
    <w:lvl w:ilvl="1">
      <w:start w:val="1"/>
      <w:numFmt w:val="lowerLetter"/>
      <w:lvlText w:val="."/>
      <w:lvlJc w:val="left"/>
      <w:pPr>
        <w:ind w:left="2858" w:hanging="360"/>
      </w:pPr>
    </w:lvl>
    <w:lvl w:ilvl="2">
      <w:start w:val="1"/>
      <w:numFmt w:val="lowerRoman"/>
      <w:lvlText w:val="."/>
      <w:lvlJc w:val="right"/>
      <w:pPr>
        <w:ind w:left="3578" w:hanging="180"/>
      </w:pPr>
    </w:lvl>
    <w:lvl w:ilvl="3">
      <w:start w:val="1"/>
      <w:numFmt w:val="decimal"/>
      <w:lvlText w:val="."/>
      <w:lvlJc w:val="left"/>
      <w:pPr>
        <w:ind w:left="4298" w:hanging="360"/>
      </w:pPr>
    </w:lvl>
    <w:lvl w:ilvl="4">
      <w:start w:val="1"/>
      <w:numFmt w:val="lowerLetter"/>
      <w:lvlText w:val="."/>
      <w:lvlJc w:val="left"/>
      <w:pPr>
        <w:ind w:left="5018" w:hanging="360"/>
      </w:pPr>
    </w:lvl>
    <w:lvl w:ilvl="5">
      <w:start w:val="1"/>
      <w:numFmt w:val="lowerRoman"/>
      <w:lvlText w:val="."/>
      <w:lvlJc w:val="right"/>
      <w:pPr>
        <w:ind w:left="5738" w:hanging="180"/>
      </w:pPr>
    </w:lvl>
    <w:lvl w:ilvl="6">
      <w:start w:val="1"/>
      <w:numFmt w:val="decimal"/>
      <w:lvlText w:val="."/>
      <w:lvlJc w:val="left"/>
      <w:pPr>
        <w:ind w:left="6458" w:hanging="360"/>
      </w:pPr>
    </w:lvl>
    <w:lvl w:ilvl="7">
      <w:start w:val="1"/>
      <w:numFmt w:val="lowerLetter"/>
      <w:lvlText w:val="."/>
      <w:lvlJc w:val="left"/>
      <w:pPr>
        <w:ind w:left="7178" w:hanging="360"/>
      </w:pPr>
    </w:lvl>
    <w:lvl w:ilvl="8">
      <w:start w:val="1"/>
      <w:numFmt w:val="lowerRoman"/>
      <w:lvlText w:val="."/>
      <w:lvlJc w:val="right"/>
      <w:pPr>
        <w:ind w:left="7898" w:hanging="180"/>
      </w:pPr>
    </w:lvl>
  </w:abstractNum>
  <w:abstractNum w:abstractNumId="1" w15:restartNumberingAfterBreak="0">
    <w:nsid w:val="0AB44E54"/>
    <w:multiLevelType w:val="multilevel"/>
    <w:tmpl w:val="630ADDBE"/>
    <w:styleLink w:val="LFO2"/>
    <w:lvl w:ilvl="0">
      <w:numFmt w:val="bullet"/>
      <w:pStyle w:val="2Bulletpoints"/>
      <w:lvlText w:val="o"/>
      <w:lvlJc w:val="left"/>
      <w:pPr>
        <w:ind w:left="2571" w:hanging="360"/>
      </w:pPr>
      <w:rPr>
        <w:rFonts w:ascii="Courier New" w:hAnsi="Courier New" w:cs="Courier New"/>
      </w:rPr>
    </w:lvl>
    <w:lvl w:ilvl="1">
      <w:numFmt w:val="bullet"/>
      <w:lvlText w:val="o"/>
      <w:lvlJc w:val="left"/>
      <w:pPr>
        <w:ind w:left="2877" w:hanging="360"/>
      </w:pPr>
      <w:rPr>
        <w:rFonts w:ascii="Courier New" w:hAnsi="Courier New" w:cs="Courier New"/>
      </w:rPr>
    </w:lvl>
    <w:lvl w:ilvl="2">
      <w:numFmt w:val="bullet"/>
      <w:lvlText w:val=""/>
      <w:lvlJc w:val="left"/>
      <w:pPr>
        <w:ind w:left="3597" w:hanging="360"/>
      </w:pPr>
      <w:rPr>
        <w:rFonts w:ascii="Wingdings" w:hAnsi="Wingdings"/>
      </w:rPr>
    </w:lvl>
    <w:lvl w:ilvl="3">
      <w:numFmt w:val="bullet"/>
      <w:lvlText w:val=""/>
      <w:lvlJc w:val="left"/>
      <w:pPr>
        <w:ind w:left="4317" w:hanging="360"/>
      </w:pPr>
      <w:rPr>
        <w:rFonts w:ascii="Symbol" w:hAnsi="Symbol"/>
      </w:rPr>
    </w:lvl>
    <w:lvl w:ilvl="4">
      <w:numFmt w:val="bullet"/>
      <w:lvlText w:val="o"/>
      <w:lvlJc w:val="left"/>
      <w:pPr>
        <w:ind w:left="5037" w:hanging="360"/>
      </w:pPr>
      <w:rPr>
        <w:rFonts w:ascii="Courier New" w:hAnsi="Courier New" w:cs="Courier New"/>
      </w:rPr>
    </w:lvl>
    <w:lvl w:ilvl="5">
      <w:numFmt w:val="bullet"/>
      <w:lvlText w:val=""/>
      <w:lvlJc w:val="left"/>
      <w:pPr>
        <w:ind w:left="5757" w:hanging="360"/>
      </w:pPr>
      <w:rPr>
        <w:rFonts w:ascii="Wingdings" w:hAnsi="Wingdings"/>
      </w:rPr>
    </w:lvl>
    <w:lvl w:ilvl="6">
      <w:numFmt w:val="bullet"/>
      <w:lvlText w:val=""/>
      <w:lvlJc w:val="left"/>
      <w:pPr>
        <w:ind w:left="6477" w:hanging="360"/>
      </w:pPr>
      <w:rPr>
        <w:rFonts w:ascii="Symbol" w:hAnsi="Symbol"/>
      </w:rPr>
    </w:lvl>
    <w:lvl w:ilvl="7">
      <w:numFmt w:val="bullet"/>
      <w:lvlText w:val="o"/>
      <w:lvlJc w:val="left"/>
      <w:pPr>
        <w:ind w:left="7197" w:hanging="360"/>
      </w:pPr>
      <w:rPr>
        <w:rFonts w:ascii="Courier New" w:hAnsi="Courier New" w:cs="Courier New"/>
      </w:rPr>
    </w:lvl>
    <w:lvl w:ilvl="8">
      <w:numFmt w:val="bullet"/>
      <w:lvlText w:val=""/>
      <w:lvlJc w:val="left"/>
      <w:pPr>
        <w:ind w:left="7917" w:hanging="360"/>
      </w:pPr>
      <w:rPr>
        <w:rFonts w:ascii="Wingdings" w:hAnsi="Wingdings"/>
      </w:rPr>
    </w:lvl>
  </w:abstractNum>
  <w:abstractNum w:abstractNumId="2" w15:restartNumberingAfterBreak="0">
    <w:nsid w:val="0B265534"/>
    <w:multiLevelType w:val="multilevel"/>
    <w:tmpl w:val="F1782D3A"/>
    <w:styleLink w:val="LFO4"/>
    <w:lvl w:ilvl="0">
      <w:start w:val="1"/>
      <w:numFmt w:val="lowerRoman"/>
      <w:pStyle w:val="3Nummerierung"/>
      <w:lvlText w:val="%1."/>
      <w:lvlJc w:val="right"/>
      <w:pPr>
        <w:ind w:left="2912" w:hanging="360"/>
      </w:pPr>
    </w:lvl>
    <w:lvl w:ilvl="1">
      <w:start w:val="1"/>
      <w:numFmt w:val="lowerLetter"/>
      <w:lvlText w:val="."/>
      <w:lvlJc w:val="left"/>
      <w:pPr>
        <w:ind w:left="2157" w:hanging="360"/>
      </w:pPr>
    </w:lvl>
    <w:lvl w:ilvl="2">
      <w:start w:val="1"/>
      <w:numFmt w:val="lowerRoman"/>
      <w:lvlText w:val="."/>
      <w:lvlJc w:val="right"/>
      <w:pPr>
        <w:ind w:left="2877" w:hanging="180"/>
      </w:pPr>
    </w:lvl>
    <w:lvl w:ilvl="3">
      <w:start w:val="1"/>
      <w:numFmt w:val="decimal"/>
      <w:lvlText w:val="."/>
      <w:lvlJc w:val="left"/>
      <w:pPr>
        <w:ind w:left="3597" w:hanging="360"/>
      </w:pPr>
    </w:lvl>
    <w:lvl w:ilvl="4">
      <w:start w:val="1"/>
      <w:numFmt w:val="lowerLetter"/>
      <w:lvlText w:val="."/>
      <w:lvlJc w:val="left"/>
      <w:pPr>
        <w:ind w:left="4317" w:hanging="360"/>
      </w:pPr>
    </w:lvl>
    <w:lvl w:ilvl="5">
      <w:start w:val="1"/>
      <w:numFmt w:val="lowerRoman"/>
      <w:lvlText w:val="."/>
      <w:lvlJc w:val="right"/>
      <w:pPr>
        <w:ind w:left="5037" w:hanging="180"/>
      </w:pPr>
    </w:lvl>
    <w:lvl w:ilvl="6">
      <w:start w:val="1"/>
      <w:numFmt w:val="decimal"/>
      <w:lvlText w:val="."/>
      <w:lvlJc w:val="left"/>
      <w:pPr>
        <w:ind w:left="5757" w:hanging="360"/>
      </w:pPr>
    </w:lvl>
    <w:lvl w:ilvl="7">
      <w:start w:val="1"/>
      <w:numFmt w:val="lowerLetter"/>
      <w:lvlText w:val="."/>
      <w:lvlJc w:val="left"/>
      <w:pPr>
        <w:ind w:left="6477" w:hanging="360"/>
      </w:pPr>
    </w:lvl>
    <w:lvl w:ilvl="8">
      <w:start w:val="1"/>
      <w:numFmt w:val="lowerRoman"/>
      <w:lvlText w:val="."/>
      <w:lvlJc w:val="right"/>
      <w:pPr>
        <w:ind w:left="7197" w:hanging="180"/>
      </w:pPr>
    </w:lvl>
  </w:abstractNum>
  <w:abstractNum w:abstractNumId="3" w15:restartNumberingAfterBreak="0">
    <w:nsid w:val="2C4E592B"/>
    <w:multiLevelType w:val="multilevel"/>
    <w:tmpl w:val="1D64D6C6"/>
    <w:styleLink w:val="LFO3"/>
    <w:lvl w:ilvl="0">
      <w:numFmt w:val="bullet"/>
      <w:pStyle w:val="3Bulletpoints"/>
      <w:lvlText w:val=""/>
      <w:lvlJc w:val="left"/>
      <w:pPr>
        <w:ind w:left="2157" w:hanging="360"/>
      </w:pPr>
      <w:rPr>
        <w:rFonts w:ascii="Wingdings" w:hAnsi="Wingdings"/>
      </w:rPr>
    </w:lvl>
    <w:lvl w:ilvl="1">
      <w:numFmt w:val="bullet"/>
      <w:lvlText w:val="o"/>
      <w:lvlJc w:val="left"/>
      <w:pPr>
        <w:ind w:left="2877" w:hanging="360"/>
      </w:pPr>
      <w:rPr>
        <w:rFonts w:ascii="Courier New" w:hAnsi="Courier New" w:cs="Courier New"/>
      </w:rPr>
    </w:lvl>
    <w:lvl w:ilvl="2">
      <w:numFmt w:val="bullet"/>
      <w:lvlText w:val=""/>
      <w:lvlJc w:val="left"/>
      <w:pPr>
        <w:ind w:left="3597" w:hanging="360"/>
      </w:pPr>
      <w:rPr>
        <w:rFonts w:ascii="Wingdings" w:hAnsi="Wingdings"/>
      </w:rPr>
    </w:lvl>
    <w:lvl w:ilvl="3">
      <w:numFmt w:val="bullet"/>
      <w:lvlText w:val=""/>
      <w:lvlJc w:val="left"/>
      <w:pPr>
        <w:ind w:left="4317" w:hanging="360"/>
      </w:pPr>
      <w:rPr>
        <w:rFonts w:ascii="Symbol" w:hAnsi="Symbol"/>
      </w:rPr>
    </w:lvl>
    <w:lvl w:ilvl="4">
      <w:numFmt w:val="bullet"/>
      <w:lvlText w:val="o"/>
      <w:lvlJc w:val="left"/>
      <w:pPr>
        <w:ind w:left="5037" w:hanging="360"/>
      </w:pPr>
      <w:rPr>
        <w:rFonts w:ascii="Courier New" w:hAnsi="Courier New" w:cs="Courier New"/>
      </w:rPr>
    </w:lvl>
    <w:lvl w:ilvl="5">
      <w:numFmt w:val="bullet"/>
      <w:lvlText w:val=""/>
      <w:lvlJc w:val="left"/>
      <w:pPr>
        <w:ind w:left="5757" w:hanging="360"/>
      </w:pPr>
      <w:rPr>
        <w:rFonts w:ascii="Wingdings" w:hAnsi="Wingdings"/>
      </w:rPr>
    </w:lvl>
    <w:lvl w:ilvl="6">
      <w:numFmt w:val="bullet"/>
      <w:lvlText w:val=""/>
      <w:lvlJc w:val="left"/>
      <w:pPr>
        <w:ind w:left="6477" w:hanging="360"/>
      </w:pPr>
      <w:rPr>
        <w:rFonts w:ascii="Symbol" w:hAnsi="Symbol"/>
      </w:rPr>
    </w:lvl>
    <w:lvl w:ilvl="7">
      <w:numFmt w:val="bullet"/>
      <w:lvlText w:val="o"/>
      <w:lvlJc w:val="left"/>
      <w:pPr>
        <w:ind w:left="7197" w:hanging="360"/>
      </w:pPr>
      <w:rPr>
        <w:rFonts w:ascii="Courier New" w:hAnsi="Courier New" w:cs="Courier New"/>
      </w:rPr>
    </w:lvl>
    <w:lvl w:ilvl="8">
      <w:numFmt w:val="bullet"/>
      <w:lvlText w:val=""/>
      <w:lvlJc w:val="left"/>
      <w:pPr>
        <w:ind w:left="7917" w:hanging="360"/>
      </w:pPr>
      <w:rPr>
        <w:rFonts w:ascii="Wingdings" w:hAnsi="Wingdings"/>
      </w:rPr>
    </w:lvl>
  </w:abstractNum>
  <w:abstractNum w:abstractNumId="4" w15:restartNumberingAfterBreak="0">
    <w:nsid w:val="448F62D8"/>
    <w:multiLevelType w:val="multilevel"/>
    <w:tmpl w:val="AA645B42"/>
    <w:styleLink w:val="WWOutlineListStyle"/>
    <w:lvl w:ilvl="0">
      <w:start w:val="1"/>
      <w:numFmt w:val="decimal"/>
      <w:pStyle w:val="berschrift1"/>
      <w:lvlText w:val="TOP %1."/>
      <w:lvlJc w:val="left"/>
      <w:pPr>
        <w:ind w:left="720" w:hanging="360"/>
      </w:pPr>
    </w:lvl>
    <w:lvl w:ilvl="1">
      <w:start w:val="1"/>
      <w:numFmt w:val="upperRoman"/>
      <w:pStyle w:val="berschrift2"/>
      <w:lvlText w:val="."/>
      <w:lvlJc w:val="righ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487B690E"/>
    <w:multiLevelType w:val="multilevel"/>
    <w:tmpl w:val="F85CA6A2"/>
    <w:styleLink w:val="LFO1"/>
    <w:lvl w:ilvl="0">
      <w:numFmt w:val="bullet"/>
      <w:pStyle w:val="Bulletpoints"/>
      <w:lvlText w:val=""/>
      <w:lvlJc w:val="left"/>
      <w:pPr>
        <w:ind w:left="1797" w:hanging="360"/>
      </w:pPr>
      <w:rPr>
        <w:rFonts w:ascii="Symbol" w:hAnsi="Symbol"/>
      </w:rPr>
    </w:lvl>
    <w:lvl w:ilvl="1">
      <w:numFmt w:val="bullet"/>
      <w:lvlText w:val="o"/>
      <w:lvlJc w:val="left"/>
      <w:pPr>
        <w:ind w:left="2517" w:hanging="360"/>
      </w:pPr>
      <w:rPr>
        <w:rFonts w:ascii="Courier New" w:hAnsi="Courier New" w:cs="Courier New"/>
      </w:rPr>
    </w:lvl>
    <w:lvl w:ilvl="2">
      <w:numFmt w:val="bullet"/>
      <w:lvlText w:val=""/>
      <w:lvlJc w:val="left"/>
      <w:pPr>
        <w:ind w:left="3237" w:hanging="360"/>
      </w:pPr>
      <w:rPr>
        <w:rFonts w:ascii="Wingdings" w:hAnsi="Wingdings"/>
      </w:rPr>
    </w:lvl>
    <w:lvl w:ilvl="3">
      <w:numFmt w:val="bullet"/>
      <w:lvlText w:val=""/>
      <w:lvlJc w:val="left"/>
      <w:pPr>
        <w:ind w:left="3957" w:hanging="360"/>
      </w:pPr>
      <w:rPr>
        <w:rFonts w:ascii="Symbol" w:hAnsi="Symbol"/>
      </w:rPr>
    </w:lvl>
    <w:lvl w:ilvl="4">
      <w:numFmt w:val="bullet"/>
      <w:lvlText w:val="o"/>
      <w:lvlJc w:val="left"/>
      <w:pPr>
        <w:ind w:left="4677" w:hanging="360"/>
      </w:pPr>
      <w:rPr>
        <w:rFonts w:ascii="Courier New" w:hAnsi="Courier New" w:cs="Courier New"/>
      </w:rPr>
    </w:lvl>
    <w:lvl w:ilvl="5">
      <w:numFmt w:val="bullet"/>
      <w:lvlText w:val=""/>
      <w:lvlJc w:val="left"/>
      <w:pPr>
        <w:ind w:left="5397" w:hanging="360"/>
      </w:pPr>
      <w:rPr>
        <w:rFonts w:ascii="Wingdings" w:hAnsi="Wingdings"/>
      </w:rPr>
    </w:lvl>
    <w:lvl w:ilvl="6">
      <w:numFmt w:val="bullet"/>
      <w:lvlText w:val=""/>
      <w:lvlJc w:val="left"/>
      <w:pPr>
        <w:ind w:left="6117" w:hanging="360"/>
      </w:pPr>
      <w:rPr>
        <w:rFonts w:ascii="Symbol" w:hAnsi="Symbol"/>
      </w:rPr>
    </w:lvl>
    <w:lvl w:ilvl="7">
      <w:numFmt w:val="bullet"/>
      <w:lvlText w:val="o"/>
      <w:lvlJc w:val="left"/>
      <w:pPr>
        <w:ind w:left="6837" w:hanging="360"/>
      </w:pPr>
      <w:rPr>
        <w:rFonts w:ascii="Courier New" w:hAnsi="Courier New" w:cs="Courier New"/>
      </w:rPr>
    </w:lvl>
    <w:lvl w:ilvl="8">
      <w:numFmt w:val="bullet"/>
      <w:lvlText w:val=""/>
      <w:lvlJc w:val="left"/>
      <w:pPr>
        <w:ind w:left="7557" w:hanging="360"/>
      </w:pPr>
      <w:rPr>
        <w:rFonts w:ascii="Wingdings" w:hAnsi="Wingdings"/>
      </w:rPr>
    </w:lvl>
  </w:abstractNum>
  <w:abstractNum w:abstractNumId="6" w15:restartNumberingAfterBreak="0">
    <w:nsid w:val="576872CE"/>
    <w:multiLevelType w:val="hybridMultilevel"/>
    <w:tmpl w:val="15DAB068"/>
    <w:lvl w:ilvl="0" w:tplc="36EEA67C">
      <w:start w:val="1"/>
      <w:numFmt w:val="bullet"/>
      <w:lvlText w:val="•"/>
      <w:lvlJc w:val="left"/>
      <w:pPr>
        <w:tabs>
          <w:tab w:val="num" w:pos="720"/>
        </w:tabs>
        <w:ind w:left="720" w:hanging="360"/>
      </w:pPr>
      <w:rPr>
        <w:rFonts w:ascii="Arial" w:hAnsi="Arial" w:cs="Times New Roman" w:hint="default"/>
      </w:rPr>
    </w:lvl>
    <w:lvl w:ilvl="1" w:tplc="85962EA8">
      <w:start w:val="1"/>
      <w:numFmt w:val="bullet"/>
      <w:lvlText w:val="•"/>
      <w:lvlJc w:val="left"/>
      <w:pPr>
        <w:tabs>
          <w:tab w:val="num" w:pos="1440"/>
        </w:tabs>
        <w:ind w:left="1440" w:hanging="360"/>
      </w:pPr>
      <w:rPr>
        <w:rFonts w:ascii="Arial" w:hAnsi="Arial" w:cs="Times New Roman" w:hint="default"/>
      </w:rPr>
    </w:lvl>
    <w:lvl w:ilvl="2" w:tplc="4BB26972">
      <w:start w:val="1"/>
      <w:numFmt w:val="bullet"/>
      <w:lvlText w:val="•"/>
      <w:lvlJc w:val="left"/>
      <w:pPr>
        <w:tabs>
          <w:tab w:val="num" w:pos="2160"/>
        </w:tabs>
        <w:ind w:left="2160" w:hanging="360"/>
      </w:pPr>
      <w:rPr>
        <w:rFonts w:ascii="Arial" w:hAnsi="Arial" w:cs="Times New Roman" w:hint="default"/>
      </w:rPr>
    </w:lvl>
    <w:lvl w:ilvl="3" w:tplc="BBF8CE6A">
      <w:start w:val="1"/>
      <w:numFmt w:val="bullet"/>
      <w:lvlText w:val="•"/>
      <w:lvlJc w:val="left"/>
      <w:pPr>
        <w:tabs>
          <w:tab w:val="num" w:pos="2880"/>
        </w:tabs>
        <w:ind w:left="2880" w:hanging="360"/>
      </w:pPr>
      <w:rPr>
        <w:rFonts w:ascii="Arial" w:hAnsi="Arial" w:cs="Times New Roman" w:hint="default"/>
      </w:rPr>
    </w:lvl>
    <w:lvl w:ilvl="4" w:tplc="5EDC78D8">
      <w:start w:val="1"/>
      <w:numFmt w:val="bullet"/>
      <w:lvlText w:val="•"/>
      <w:lvlJc w:val="left"/>
      <w:pPr>
        <w:tabs>
          <w:tab w:val="num" w:pos="3600"/>
        </w:tabs>
        <w:ind w:left="3600" w:hanging="360"/>
      </w:pPr>
      <w:rPr>
        <w:rFonts w:ascii="Arial" w:hAnsi="Arial" w:cs="Times New Roman" w:hint="default"/>
      </w:rPr>
    </w:lvl>
    <w:lvl w:ilvl="5" w:tplc="6A9EA6CA">
      <w:start w:val="1"/>
      <w:numFmt w:val="bullet"/>
      <w:lvlText w:val="•"/>
      <w:lvlJc w:val="left"/>
      <w:pPr>
        <w:tabs>
          <w:tab w:val="num" w:pos="4320"/>
        </w:tabs>
        <w:ind w:left="4320" w:hanging="360"/>
      </w:pPr>
      <w:rPr>
        <w:rFonts w:ascii="Arial" w:hAnsi="Arial" w:cs="Times New Roman" w:hint="default"/>
      </w:rPr>
    </w:lvl>
    <w:lvl w:ilvl="6" w:tplc="22CE9246">
      <w:start w:val="1"/>
      <w:numFmt w:val="bullet"/>
      <w:lvlText w:val="•"/>
      <w:lvlJc w:val="left"/>
      <w:pPr>
        <w:tabs>
          <w:tab w:val="num" w:pos="5040"/>
        </w:tabs>
        <w:ind w:left="5040" w:hanging="360"/>
      </w:pPr>
      <w:rPr>
        <w:rFonts w:ascii="Arial" w:hAnsi="Arial" w:cs="Times New Roman" w:hint="default"/>
      </w:rPr>
    </w:lvl>
    <w:lvl w:ilvl="7" w:tplc="14DEF614">
      <w:start w:val="1"/>
      <w:numFmt w:val="bullet"/>
      <w:lvlText w:val="•"/>
      <w:lvlJc w:val="left"/>
      <w:pPr>
        <w:tabs>
          <w:tab w:val="num" w:pos="5760"/>
        </w:tabs>
        <w:ind w:left="5760" w:hanging="360"/>
      </w:pPr>
      <w:rPr>
        <w:rFonts w:ascii="Arial" w:hAnsi="Arial" w:cs="Times New Roman" w:hint="default"/>
      </w:rPr>
    </w:lvl>
    <w:lvl w:ilvl="8" w:tplc="20A48B20">
      <w:start w:val="1"/>
      <w:numFmt w:val="bullet"/>
      <w:lvlText w:val="•"/>
      <w:lvlJc w:val="left"/>
      <w:pPr>
        <w:tabs>
          <w:tab w:val="num" w:pos="6480"/>
        </w:tabs>
        <w:ind w:left="6480" w:hanging="360"/>
      </w:pPr>
      <w:rPr>
        <w:rFonts w:ascii="Arial" w:hAnsi="Arial" w:cs="Times New Roman" w:hint="default"/>
      </w:rPr>
    </w:lvl>
  </w:abstractNum>
  <w:num w:numId="1" w16cid:durableId="595797022">
    <w:abstractNumId w:val="4"/>
  </w:num>
  <w:num w:numId="2" w16cid:durableId="191841768">
    <w:abstractNumId w:val="5"/>
  </w:num>
  <w:num w:numId="3" w16cid:durableId="1105543166">
    <w:abstractNumId w:val="1"/>
  </w:num>
  <w:num w:numId="4" w16cid:durableId="32003244">
    <w:abstractNumId w:val="3"/>
  </w:num>
  <w:num w:numId="5" w16cid:durableId="772628406">
    <w:abstractNumId w:val="2"/>
  </w:num>
  <w:num w:numId="6" w16cid:durableId="1836143897">
    <w:abstractNumId w:val="0"/>
  </w:num>
  <w:num w:numId="7" w16cid:durableId="266042177">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4E20B9"/>
    <w:rsid w:val="001B5731"/>
    <w:rsid w:val="004E20B9"/>
    <w:rsid w:val="004E364C"/>
    <w:rsid w:val="005C08A3"/>
    <w:rsid w:val="00805F0C"/>
    <w:rsid w:val="00860DBA"/>
    <w:rsid w:val="00C10B00"/>
    <w:rsid w:val="00D801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2FC06B"/>
  <w15:docId w15:val="{81BD385B-80E1-452A-A5AC-330A40C3F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Times New Roman"/>
        <w:kern w:val="3"/>
        <w:sz w:val="22"/>
        <w:szCs w:val="22"/>
        <w:lang w:val="de-DE"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05F0C"/>
    <w:pPr>
      <w:suppressAutoHyphens/>
      <w:spacing w:line="257" w:lineRule="auto"/>
    </w:pPr>
    <w:rPr>
      <w:rFonts w:ascii="Verdana" w:hAnsi="Verdana"/>
    </w:rPr>
  </w:style>
  <w:style w:type="paragraph" w:styleId="berschrift1">
    <w:name w:val="heading 1"/>
    <w:basedOn w:val="Standard"/>
    <w:next w:val="Standard"/>
    <w:uiPriority w:val="9"/>
    <w:qFormat/>
    <w:pPr>
      <w:keepNext/>
      <w:keepLines/>
      <w:numPr>
        <w:numId w:val="1"/>
      </w:numPr>
      <w:spacing w:before="360" w:after="120"/>
      <w:outlineLvl w:val="0"/>
    </w:pPr>
    <w:rPr>
      <w:rFonts w:eastAsia="Times New Roman"/>
      <w:b/>
      <w:sz w:val="24"/>
      <w:szCs w:val="40"/>
    </w:rPr>
  </w:style>
  <w:style w:type="paragraph" w:styleId="berschrift2">
    <w:name w:val="heading 2"/>
    <w:basedOn w:val="Standard"/>
    <w:next w:val="Standard"/>
    <w:uiPriority w:val="9"/>
    <w:unhideWhenUsed/>
    <w:qFormat/>
    <w:pPr>
      <w:keepNext/>
      <w:keepLines/>
      <w:numPr>
        <w:ilvl w:val="1"/>
        <w:numId w:val="1"/>
      </w:numPr>
      <w:spacing w:before="240" w:after="80"/>
      <w:outlineLvl w:val="1"/>
    </w:pPr>
    <w:rPr>
      <w:rFonts w:eastAsia="Times New Roman"/>
      <w:b/>
      <w:sz w:val="24"/>
      <w:szCs w:val="32"/>
    </w:rPr>
  </w:style>
  <w:style w:type="paragraph" w:styleId="berschrift3">
    <w:name w:val="heading 3"/>
    <w:basedOn w:val="Standard"/>
    <w:next w:val="Standard"/>
    <w:uiPriority w:val="9"/>
    <w:semiHidden/>
    <w:unhideWhenUsed/>
    <w:qFormat/>
    <w:pPr>
      <w:keepNext/>
      <w:keepLines/>
      <w:spacing w:before="160" w:after="80"/>
      <w:outlineLvl w:val="2"/>
    </w:pPr>
    <w:rPr>
      <w:rFonts w:eastAsia="Times New Roman"/>
      <w:color w:val="0F4761"/>
      <w:sz w:val="28"/>
      <w:szCs w:val="28"/>
    </w:rPr>
  </w:style>
  <w:style w:type="paragraph" w:styleId="berschrift4">
    <w:name w:val="heading 4"/>
    <w:basedOn w:val="Standard"/>
    <w:next w:val="Standard"/>
    <w:uiPriority w:val="9"/>
    <w:semiHidden/>
    <w:unhideWhenUsed/>
    <w:qFormat/>
    <w:pPr>
      <w:keepNext/>
      <w:keepLines/>
      <w:spacing w:before="80" w:after="40"/>
      <w:outlineLvl w:val="3"/>
    </w:pPr>
    <w:rPr>
      <w:rFonts w:eastAsia="Times New Roman"/>
      <w:i/>
      <w:iCs/>
      <w:color w:val="0F4761"/>
    </w:rPr>
  </w:style>
  <w:style w:type="paragraph" w:styleId="berschrift5">
    <w:name w:val="heading 5"/>
    <w:basedOn w:val="Standard"/>
    <w:next w:val="Standard"/>
    <w:uiPriority w:val="9"/>
    <w:semiHidden/>
    <w:unhideWhenUsed/>
    <w:qFormat/>
    <w:pPr>
      <w:keepNext/>
      <w:keepLines/>
      <w:spacing w:before="80" w:after="40"/>
      <w:outlineLvl w:val="4"/>
    </w:pPr>
    <w:rPr>
      <w:rFonts w:eastAsia="Times New Roman"/>
      <w:color w:val="0F4761"/>
    </w:rPr>
  </w:style>
  <w:style w:type="paragraph" w:styleId="berschrift6">
    <w:name w:val="heading 6"/>
    <w:basedOn w:val="Standard"/>
    <w:next w:val="Standard"/>
    <w:uiPriority w:val="9"/>
    <w:semiHidden/>
    <w:unhideWhenUsed/>
    <w:qFormat/>
    <w:pPr>
      <w:keepNext/>
      <w:keepLines/>
      <w:spacing w:before="40" w:after="0"/>
      <w:outlineLvl w:val="5"/>
    </w:pPr>
    <w:rPr>
      <w:rFonts w:eastAsia="Times New Roman"/>
      <w:i/>
      <w:iCs/>
      <w:color w:val="595959"/>
    </w:rPr>
  </w:style>
  <w:style w:type="paragraph" w:styleId="berschrift7">
    <w:name w:val="heading 7"/>
    <w:basedOn w:val="Standard"/>
    <w:next w:val="Standard"/>
    <w:pPr>
      <w:keepNext/>
      <w:keepLines/>
      <w:spacing w:before="40" w:after="0"/>
      <w:outlineLvl w:val="6"/>
    </w:pPr>
    <w:rPr>
      <w:rFonts w:eastAsia="Times New Roman"/>
      <w:color w:val="595959"/>
    </w:rPr>
  </w:style>
  <w:style w:type="paragraph" w:styleId="berschrift8">
    <w:name w:val="heading 8"/>
    <w:basedOn w:val="Standard"/>
    <w:next w:val="Standard"/>
    <w:pPr>
      <w:keepNext/>
      <w:keepLines/>
      <w:spacing w:after="0"/>
      <w:outlineLvl w:val="7"/>
    </w:pPr>
    <w:rPr>
      <w:rFonts w:eastAsia="Times New Roman"/>
      <w:i/>
      <w:iCs/>
      <w:color w:val="272727"/>
    </w:rPr>
  </w:style>
  <w:style w:type="paragraph" w:styleId="berschrift9">
    <w:name w:val="heading 9"/>
    <w:basedOn w:val="Standard"/>
    <w:next w:val="Standard"/>
    <w:pPr>
      <w:keepNext/>
      <w:keepLines/>
      <w:spacing w:after="0"/>
      <w:outlineLvl w:val="8"/>
    </w:pPr>
    <w:rPr>
      <w:rFonts w:eastAsia="Times New Roman"/>
      <w:color w:val="272727"/>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WWOutlineListStyle">
    <w:name w:val="WW_OutlineListStyle"/>
    <w:basedOn w:val="KeineListe"/>
    <w:pPr>
      <w:numPr>
        <w:numId w:val="1"/>
      </w:numPr>
    </w:pPr>
  </w:style>
  <w:style w:type="character" w:customStyle="1" w:styleId="berschrift1Zchn">
    <w:name w:val="Überschrift 1 Zchn"/>
    <w:basedOn w:val="Absatz-Standardschriftart"/>
    <w:rPr>
      <w:rFonts w:ascii="Verdana" w:eastAsia="Times New Roman" w:hAnsi="Verdana" w:cs="Times New Roman"/>
      <w:b/>
      <w:sz w:val="24"/>
      <w:szCs w:val="40"/>
    </w:rPr>
  </w:style>
  <w:style w:type="character" w:customStyle="1" w:styleId="berschrift2Zchn">
    <w:name w:val="Überschrift 2 Zchn"/>
    <w:basedOn w:val="Absatz-Standardschriftart"/>
    <w:rPr>
      <w:rFonts w:ascii="Verdana" w:eastAsia="Times New Roman" w:hAnsi="Verdana" w:cs="Times New Roman"/>
      <w:b/>
      <w:sz w:val="24"/>
      <w:szCs w:val="32"/>
    </w:rPr>
  </w:style>
  <w:style w:type="character" w:customStyle="1" w:styleId="berschrift3Zchn">
    <w:name w:val="Überschrift 3 Zchn"/>
    <w:basedOn w:val="Absatz-Standardschriftart"/>
    <w:rPr>
      <w:rFonts w:eastAsia="Times New Roman" w:cs="Times New Roman"/>
      <w:color w:val="0F4761"/>
      <w:sz w:val="28"/>
      <w:szCs w:val="28"/>
    </w:rPr>
  </w:style>
  <w:style w:type="character" w:customStyle="1" w:styleId="berschrift4Zchn">
    <w:name w:val="Überschrift 4 Zchn"/>
    <w:basedOn w:val="Absatz-Standardschriftart"/>
    <w:rPr>
      <w:rFonts w:eastAsia="Times New Roman" w:cs="Times New Roman"/>
      <w:i/>
      <w:iCs/>
      <w:color w:val="0F4761"/>
    </w:rPr>
  </w:style>
  <w:style w:type="character" w:customStyle="1" w:styleId="berschrift5Zchn">
    <w:name w:val="Überschrift 5 Zchn"/>
    <w:basedOn w:val="Absatz-Standardschriftart"/>
    <w:rPr>
      <w:rFonts w:eastAsia="Times New Roman" w:cs="Times New Roman"/>
      <w:color w:val="0F4761"/>
    </w:rPr>
  </w:style>
  <w:style w:type="character" w:customStyle="1" w:styleId="berschrift6Zchn">
    <w:name w:val="Überschrift 6 Zchn"/>
    <w:basedOn w:val="Absatz-Standardschriftart"/>
    <w:rPr>
      <w:rFonts w:eastAsia="Times New Roman" w:cs="Times New Roman"/>
      <w:i/>
      <w:iCs/>
      <w:color w:val="595959"/>
    </w:rPr>
  </w:style>
  <w:style w:type="character" w:customStyle="1" w:styleId="berschrift7Zchn">
    <w:name w:val="Überschrift 7 Zchn"/>
    <w:basedOn w:val="Absatz-Standardschriftart"/>
    <w:rPr>
      <w:rFonts w:eastAsia="Times New Roman" w:cs="Times New Roman"/>
      <w:color w:val="595959"/>
    </w:rPr>
  </w:style>
  <w:style w:type="character" w:customStyle="1" w:styleId="berschrift8Zchn">
    <w:name w:val="Überschrift 8 Zchn"/>
    <w:basedOn w:val="Absatz-Standardschriftart"/>
    <w:rPr>
      <w:rFonts w:eastAsia="Times New Roman" w:cs="Times New Roman"/>
      <w:i/>
      <w:iCs/>
      <w:color w:val="272727"/>
    </w:rPr>
  </w:style>
  <w:style w:type="character" w:customStyle="1" w:styleId="berschrift9Zchn">
    <w:name w:val="Überschrift 9 Zchn"/>
    <w:basedOn w:val="Absatz-Standardschriftart"/>
    <w:rPr>
      <w:rFonts w:eastAsia="Times New Roman" w:cs="Times New Roman"/>
      <w:color w:val="272727"/>
    </w:rPr>
  </w:style>
  <w:style w:type="paragraph" w:styleId="Titel">
    <w:name w:val="Title"/>
    <w:basedOn w:val="Standard"/>
    <w:next w:val="Standard"/>
    <w:uiPriority w:val="10"/>
    <w:qFormat/>
    <w:pPr>
      <w:spacing w:after="240" w:line="360" w:lineRule="auto"/>
      <w:contextualSpacing/>
    </w:pPr>
    <w:rPr>
      <w:rFonts w:eastAsia="Times New Roman"/>
      <w:b/>
      <w:sz w:val="24"/>
      <w:szCs w:val="56"/>
    </w:rPr>
  </w:style>
  <w:style w:type="character" w:customStyle="1" w:styleId="TitelZchn">
    <w:name w:val="Titel Zchn"/>
    <w:basedOn w:val="Absatz-Standardschriftart"/>
    <w:rPr>
      <w:rFonts w:ascii="Verdana" w:eastAsia="Times New Roman" w:hAnsi="Verdana" w:cs="Times New Roman"/>
      <w:b/>
      <w:kern w:val="3"/>
      <w:sz w:val="24"/>
      <w:szCs w:val="56"/>
    </w:rPr>
  </w:style>
  <w:style w:type="paragraph" w:styleId="Untertitel">
    <w:name w:val="Subtitle"/>
    <w:basedOn w:val="Standard"/>
    <w:next w:val="Standard"/>
    <w:uiPriority w:val="11"/>
    <w:qFormat/>
    <w:rPr>
      <w:rFonts w:eastAsia="Times New Roman"/>
      <w:color w:val="595959"/>
      <w:spacing w:val="15"/>
      <w:sz w:val="28"/>
      <w:szCs w:val="28"/>
    </w:rPr>
  </w:style>
  <w:style w:type="character" w:customStyle="1" w:styleId="UntertitelZchn">
    <w:name w:val="Untertitel Zchn"/>
    <w:basedOn w:val="Absatz-Standardschriftart"/>
    <w:rPr>
      <w:rFonts w:eastAsia="Times New Roman" w:cs="Times New Roman"/>
      <w:color w:val="595959"/>
      <w:spacing w:val="15"/>
      <w:sz w:val="28"/>
      <w:szCs w:val="28"/>
    </w:rPr>
  </w:style>
  <w:style w:type="paragraph" w:styleId="Zitat">
    <w:name w:val="Quote"/>
    <w:basedOn w:val="Standard"/>
    <w:next w:val="Standard"/>
    <w:pPr>
      <w:spacing w:before="160"/>
      <w:jc w:val="center"/>
    </w:pPr>
    <w:rPr>
      <w:i/>
      <w:iCs/>
      <w:color w:val="404040"/>
    </w:rPr>
  </w:style>
  <w:style w:type="character" w:customStyle="1" w:styleId="ZitatZchn">
    <w:name w:val="Zitat Zchn"/>
    <w:basedOn w:val="Absatz-Standardschriftart"/>
    <w:rPr>
      <w:i/>
      <w:iCs/>
      <w:color w:val="404040"/>
    </w:rPr>
  </w:style>
  <w:style w:type="paragraph" w:styleId="Listenabsatz">
    <w:name w:val="List Paragraph"/>
    <w:basedOn w:val="Standard"/>
    <w:pPr>
      <w:spacing w:line="360" w:lineRule="auto"/>
      <w:contextualSpacing/>
    </w:pPr>
  </w:style>
  <w:style w:type="character" w:styleId="IntensiveHervorhebung">
    <w:name w:val="Intense Emphasis"/>
    <w:basedOn w:val="Absatz-Standardschriftart"/>
    <w:rPr>
      <w:i/>
      <w:iCs/>
      <w:color w:val="0F4761"/>
    </w:rPr>
  </w:style>
  <w:style w:type="paragraph" w:styleId="IntensivesZitat">
    <w:name w:val="Intense Quote"/>
    <w:basedOn w:val="Standard"/>
    <w:next w:val="Standard"/>
    <w:pPr>
      <w:pBdr>
        <w:top w:val="single" w:sz="4" w:space="10" w:color="0F4761"/>
        <w:bottom w:val="single" w:sz="4" w:space="10" w:color="0F4761"/>
      </w:pBdr>
      <w:spacing w:before="360" w:after="360"/>
      <w:ind w:left="864" w:right="864"/>
      <w:jc w:val="center"/>
    </w:pPr>
    <w:rPr>
      <w:i/>
      <w:iCs/>
      <w:color w:val="0F4761"/>
    </w:rPr>
  </w:style>
  <w:style w:type="character" w:customStyle="1" w:styleId="IntensivesZitatZchn">
    <w:name w:val="Intensives Zitat Zchn"/>
    <w:basedOn w:val="Absatz-Standardschriftart"/>
    <w:rPr>
      <w:i/>
      <w:iCs/>
      <w:color w:val="0F4761"/>
    </w:rPr>
  </w:style>
  <w:style w:type="character" w:styleId="IntensiverVerweis">
    <w:name w:val="Intense Reference"/>
    <w:basedOn w:val="Absatz-Standardschriftart"/>
    <w:rPr>
      <w:b/>
      <w:bCs/>
      <w:smallCaps/>
      <w:color w:val="0F4761"/>
      <w:spacing w:val="5"/>
    </w:rPr>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paragraph" w:customStyle="1" w:styleId="Bulletpoints">
    <w:name w:val="Bulletpoints"/>
    <w:basedOn w:val="Standard"/>
    <w:autoRedefine/>
    <w:pPr>
      <w:numPr>
        <w:numId w:val="2"/>
      </w:numPr>
    </w:pPr>
  </w:style>
  <w:style w:type="character" w:customStyle="1" w:styleId="BulletpointsZchn">
    <w:name w:val="Bulletpoints Zchn"/>
    <w:basedOn w:val="Absatz-Standardschriftart"/>
    <w:rPr>
      <w:rFonts w:ascii="Verdana" w:hAnsi="Verdana"/>
    </w:rPr>
  </w:style>
  <w:style w:type="paragraph" w:customStyle="1" w:styleId="2Bulletpoints">
    <w:name w:val="2 Bulletpoints"/>
    <w:basedOn w:val="Bulletpoints"/>
    <w:autoRedefine/>
    <w:pPr>
      <w:numPr>
        <w:numId w:val="3"/>
      </w:numPr>
    </w:pPr>
  </w:style>
  <w:style w:type="character" w:customStyle="1" w:styleId="2BulletpointsZchn">
    <w:name w:val="2 Bulletpoints Zchn"/>
    <w:basedOn w:val="BulletpointsZchn"/>
    <w:rPr>
      <w:rFonts w:ascii="Verdana" w:hAnsi="Verdana"/>
    </w:rPr>
  </w:style>
  <w:style w:type="paragraph" w:customStyle="1" w:styleId="3Bulletpoints">
    <w:name w:val="3 Bulletpoints"/>
    <w:basedOn w:val="Bulletpoints"/>
    <w:pPr>
      <w:numPr>
        <w:numId w:val="4"/>
      </w:numPr>
    </w:pPr>
  </w:style>
  <w:style w:type="character" w:customStyle="1" w:styleId="3BulletpointsZchn">
    <w:name w:val="3 Bulletpoints Zchn"/>
    <w:basedOn w:val="BulletpointsZchn"/>
    <w:rPr>
      <w:rFonts w:ascii="Verdana" w:hAnsi="Verdana"/>
    </w:rPr>
  </w:style>
  <w:style w:type="paragraph" w:customStyle="1" w:styleId="1NummerierteListe">
    <w:name w:val="1. Nummerierte Liste"/>
    <w:basedOn w:val="Listenabsatz"/>
    <w:autoRedefine/>
    <w:pPr>
      <w:numPr>
        <w:numId w:val="6"/>
      </w:numPr>
    </w:pPr>
  </w:style>
  <w:style w:type="character" w:customStyle="1" w:styleId="ListenabsatzZchn">
    <w:name w:val="Listenabsatz Zchn"/>
    <w:basedOn w:val="Absatz-Standardschriftart"/>
    <w:rPr>
      <w:rFonts w:ascii="Verdana" w:hAnsi="Verdana"/>
    </w:rPr>
  </w:style>
  <w:style w:type="character" w:customStyle="1" w:styleId="1NummerierteListeZchn">
    <w:name w:val="1. Nummerierte Liste Zchn"/>
    <w:basedOn w:val="ListenabsatzZchn"/>
    <w:rPr>
      <w:rFonts w:ascii="Verdana" w:hAnsi="Verdana"/>
    </w:rPr>
  </w:style>
  <w:style w:type="paragraph" w:customStyle="1" w:styleId="2NummerierteListe">
    <w:name w:val="2. Nummerierte Liste"/>
    <w:basedOn w:val="Listenabsatz"/>
    <w:autoRedefine/>
    <w:pPr>
      <w:ind w:left="2342" w:hanging="357"/>
    </w:pPr>
  </w:style>
  <w:style w:type="character" w:customStyle="1" w:styleId="2NummerierteListeZchn">
    <w:name w:val="2. Nummerierte Liste Zchn"/>
    <w:basedOn w:val="ListenabsatzZchn"/>
    <w:rPr>
      <w:rFonts w:ascii="Verdana" w:hAnsi="Verdana"/>
    </w:rPr>
  </w:style>
  <w:style w:type="paragraph" w:customStyle="1" w:styleId="3Nummerierung">
    <w:name w:val="3 Nummerierung"/>
    <w:basedOn w:val="Listenabsatz"/>
    <w:autoRedefine/>
    <w:pPr>
      <w:numPr>
        <w:numId w:val="5"/>
      </w:numPr>
    </w:pPr>
  </w:style>
  <w:style w:type="character" w:customStyle="1" w:styleId="3NummerierungZchn">
    <w:name w:val="3 Nummerierung Zchn"/>
    <w:basedOn w:val="ListenabsatzZchn"/>
    <w:rPr>
      <w:rFonts w:ascii="Verdana" w:hAnsi="Verdana"/>
    </w:rPr>
  </w:style>
  <w:style w:type="character" w:styleId="Hyperlink">
    <w:name w:val="Hyperlink"/>
    <w:basedOn w:val="Absatz-Standardschriftart"/>
    <w:uiPriority w:val="99"/>
    <w:unhideWhenUsed/>
    <w:rsid w:val="00805F0C"/>
    <w:rPr>
      <w:color w:val="467886" w:themeColor="hyperlink"/>
      <w:u w:val="single"/>
    </w:rPr>
  </w:style>
  <w:style w:type="character" w:styleId="NichtaufgelsteErwhnung">
    <w:name w:val="Unresolved Mention"/>
    <w:basedOn w:val="Absatz-Standardschriftart"/>
    <w:uiPriority w:val="99"/>
    <w:semiHidden/>
    <w:unhideWhenUsed/>
    <w:rsid w:val="00805F0C"/>
    <w:rPr>
      <w:color w:val="605E5C"/>
      <w:shd w:val="clear" w:color="auto" w:fill="E1DFDD"/>
    </w:rPr>
  </w:style>
  <w:style w:type="character" w:styleId="Buchtitel">
    <w:name w:val="Book Title"/>
    <w:basedOn w:val="Absatz-Standardschriftart"/>
    <w:uiPriority w:val="33"/>
    <w:qFormat/>
    <w:rsid w:val="00805F0C"/>
    <w:rPr>
      <w:b/>
      <w:bCs/>
      <w:i/>
      <w:iCs/>
      <w:spacing w:val="5"/>
    </w:rPr>
  </w:style>
  <w:style w:type="numbering" w:customStyle="1" w:styleId="LFO1">
    <w:name w:val="LFO1"/>
    <w:basedOn w:val="KeineListe"/>
    <w:pPr>
      <w:numPr>
        <w:numId w:val="2"/>
      </w:numPr>
    </w:pPr>
  </w:style>
  <w:style w:type="numbering" w:customStyle="1" w:styleId="LFO2">
    <w:name w:val="LFO2"/>
    <w:basedOn w:val="KeineListe"/>
    <w:pPr>
      <w:numPr>
        <w:numId w:val="3"/>
      </w:numPr>
    </w:pPr>
  </w:style>
  <w:style w:type="numbering" w:customStyle="1" w:styleId="LFO3">
    <w:name w:val="LFO3"/>
    <w:basedOn w:val="KeineListe"/>
    <w:pPr>
      <w:numPr>
        <w:numId w:val="4"/>
      </w:numPr>
    </w:pPr>
  </w:style>
  <w:style w:type="numbering" w:customStyle="1" w:styleId="LFO4">
    <w:name w:val="LFO4"/>
    <w:basedOn w:val="KeineListe"/>
    <w:pPr>
      <w:numPr>
        <w:numId w:val="5"/>
      </w:numPr>
    </w:pPr>
  </w:style>
  <w:style w:type="numbering" w:customStyle="1" w:styleId="LFO5">
    <w:name w:val="LFO5"/>
    <w:basedOn w:val="KeineListe"/>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700061">
      <w:bodyDiv w:val="1"/>
      <w:marLeft w:val="0"/>
      <w:marRight w:val="0"/>
      <w:marTop w:val="0"/>
      <w:marBottom w:val="0"/>
      <w:divBdr>
        <w:top w:val="none" w:sz="0" w:space="0" w:color="auto"/>
        <w:left w:val="none" w:sz="0" w:space="0" w:color="auto"/>
        <w:bottom w:val="none" w:sz="0" w:space="0" w:color="auto"/>
        <w:right w:val="none" w:sz="0" w:space="0" w:color="auto"/>
      </w:divBdr>
    </w:div>
    <w:div w:id="263999185">
      <w:bodyDiv w:val="1"/>
      <w:marLeft w:val="0"/>
      <w:marRight w:val="0"/>
      <w:marTop w:val="0"/>
      <w:marBottom w:val="0"/>
      <w:divBdr>
        <w:top w:val="none" w:sz="0" w:space="0" w:color="auto"/>
        <w:left w:val="none" w:sz="0" w:space="0" w:color="auto"/>
        <w:bottom w:val="none" w:sz="0" w:space="0" w:color="auto"/>
        <w:right w:val="none" w:sz="0" w:space="0" w:color="auto"/>
      </w:divBdr>
    </w:div>
    <w:div w:id="276641059">
      <w:bodyDiv w:val="1"/>
      <w:marLeft w:val="0"/>
      <w:marRight w:val="0"/>
      <w:marTop w:val="0"/>
      <w:marBottom w:val="0"/>
      <w:divBdr>
        <w:top w:val="none" w:sz="0" w:space="0" w:color="auto"/>
        <w:left w:val="none" w:sz="0" w:space="0" w:color="auto"/>
        <w:bottom w:val="none" w:sz="0" w:space="0" w:color="auto"/>
        <w:right w:val="none" w:sz="0" w:space="0" w:color="auto"/>
      </w:divBdr>
    </w:div>
    <w:div w:id="903370976">
      <w:bodyDiv w:val="1"/>
      <w:marLeft w:val="0"/>
      <w:marRight w:val="0"/>
      <w:marTop w:val="0"/>
      <w:marBottom w:val="0"/>
      <w:divBdr>
        <w:top w:val="none" w:sz="0" w:space="0" w:color="auto"/>
        <w:left w:val="none" w:sz="0" w:space="0" w:color="auto"/>
        <w:bottom w:val="none" w:sz="0" w:space="0" w:color="auto"/>
        <w:right w:val="none" w:sz="0" w:space="0" w:color="auto"/>
      </w:divBdr>
    </w:div>
    <w:div w:id="1383098102">
      <w:bodyDiv w:val="1"/>
      <w:marLeft w:val="0"/>
      <w:marRight w:val="0"/>
      <w:marTop w:val="0"/>
      <w:marBottom w:val="0"/>
      <w:divBdr>
        <w:top w:val="none" w:sz="0" w:space="0" w:color="auto"/>
        <w:left w:val="none" w:sz="0" w:space="0" w:color="auto"/>
        <w:bottom w:val="none" w:sz="0" w:space="0" w:color="auto"/>
        <w:right w:val="none" w:sz="0" w:space="0" w:color="auto"/>
      </w:divBdr>
    </w:div>
    <w:div w:id="16846713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tad.de/service/mitgliederinfos/energie/eugh-urteil-tab-sind-eeg-anlagen/bdew-leitfaden_stromkennzeichnung_2021.pdf" TargetMode="External"/><Relationship Id="rId3" Type="http://schemas.openxmlformats.org/officeDocument/2006/relationships/settings" Target="settings.xml"/><Relationship Id="rId7" Type="http://schemas.openxmlformats.org/officeDocument/2006/relationships/hyperlink" Target="https://www.itad.de/service/mitgliederinfos/energie/eugh-urteil-tab-sind-eeg-anlagen/urteil.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679</Words>
  <Characters>4278</Characters>
  <Application>Microsoft Office Word</Application>
  <DocSecurity>0</DocSecurity>
  <Lines>35</Lines>
  <Paragraphs>9</Paragraphs>
  <ScaleCrop>false</ScaleCrop>
  <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 Brehmer-Kohn</dc:creator>
  <dc:description/>
  <cp:lastModifiedBy>Gabriele Brehmer-Kohn</cp:lastModifiedBy>
  <cp:revision>6</cp:revision>
  <dcterms:created xsi:type="dcterms:W3CDTF">2024-07-26T12:28:00Z</dcterms:created>
  <dcterms:modified xsi:type="dcterms:W3CDTF">2024-07-26T12:42:00Z</dcterms:modified>
</cp:coreProperties>
</file>