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B5678A" w14:paraId="322EB3A0" w14:textId="77777777" w:rsidTr="007F04DE">
        <w:tc>
          <w:tcPr>
            <w:tcW w:w="4814" w:type="dxa"/>
          </w:tcPr>
          <w:p w14:paraId="727256FA" w14:textId="77777777" w:rsidR="00B5678A" w:rsidRPr="009E6828" w:rsidRDefault="00B5678A" w:rsidP="00B5678A">
            <w:pPr>
              <w:spacing w:line="260" w:lineRule="exact"/>
              <w:rPr>
                <w:rFonts w:ascii="Verdana" w:hAnsi="Verdana"/>
                <w:color w:val="AEAAAA" w:themeColor="background2" w:themeShade="BF"/>
                <w:sz w:val="20"/>
                <w:lang w:val="en-GB"/>
              </w:rPr>
            </w:pPr>
            <w:r w:rsidRPr="00FC48AF">
              <w:rPr>
                <w:rFonts w:ascii="Verdana" w:hAnsi="Verdana"/>
                <w:sz w:val="20"/>
                <w:lang w:val="en-GB"/>
              </w:rPr>
              <w:t xml:space="preserve">Per E-Mail: </w:t>
            </w:r>
            <w:r w:rsidRPr="009E6828">
              <w:rPr>
                <w:rFonts w:ascii="Verdana" w:hAnsi="Verdana"/>
                <w:color w:val="AEAAAA" w:themeColor="background2" w:themeShade="BF"/>
                <w:sz w:val="20"/>
                <w:lang w:val="en-GB"/>
              </w:rPr>
              <w:t xml:space="preserve">TII4@bmuv.bund.de </w:t>
            </w:r>
          </w:p>
          <w:p w14:paraId="277FADC2" w14:textId="77777777" w:rsidR="00B5678A" w:rsidRPr="009E6828" w:rsidRDefault="00B5678A" w:rsidP="007F04DE">
            <w:pPr>
              <w:spacing w:after="0" w:line="260" w:lineRule="exact"/>
              <w:rPr>
                <w:rFonts w:ascii="Verdana" w:hAnsi="Verdana"/>
                <w:color w:val="AEAAAA" w:themeColor="background2" w:themeShade="BF"/>
                <w:sz w:val="20"/>
              </w:rPr>
            </w:pPr>
            <w:r w:rsidRPr="009E6828">
              <w:rPr>
                <w:rFonts w:ascii="Verdana" w:hAnsi="Verdana"/>
                <w:color w:val="AEAAAA" w:themeColor="background2" w:themeShade="BF"/>
                <w:sz w:val="20"/>
              </w:rPr>
              <w:t xml:space="preserve">Bundesministerium für Umwelt, Naturschutz, nukleare Sicherheit und Verbraucherschutz </w:t>
            </w:r>
          </w:p>
          <w:p w14:paraId="6839A58B" w14:textId="77777777" w:rsidR="00B5678A" w:rsidRPr="009E6828" w:rsidRDefault="00B5678A" w:rsidP="007F04DE">
            <w:pPr>
              <w:spacing w:after="0" w:line="240" w:lineRule="auto"/>
              <w:rPr>
                <w:rFonts w:ascii="Verdana" w:hAnsi="Verdana"/>
                <w:color w:val="AEAAAA" w:themeColor="background2" w:themeShade="BF"/>
                <w:sz w:val="20"/>
              </w:rPr>
            </w:pPr>
            <w:r w:rsidRPr="009E6828">
              <w:rPr>
                <w:rFonts w:ascii="Verdana" w:hAnsi="Verdana"/>
                <w:color w:val="AEAAAA" w:themeColor="background2" w:themeShade="BF"/>
                <w:sz w:val="20"/>
              </w:rPr>
              <w:t xml:space="preserve">Referat T II 4 </w:t>
            </w:r>
          </w:p>
          <w:p w14:paraId="0690BCF0" w14:textId="77777777" w:rsidR="00B5678A" w:rsidRPr="009E6828" w:rsidRDefault="00B5678A" w:rsidP="007F04DE">
            <w:pPr>
              <w:spacing w:after="0" w:line="240" w:lineRule="auto"/>
              <w:rPr>
                <w:rFonts w:ascii="Verdana" w:hAnsi="Verdana"/>
                <w:color w:val="AEAAAA" w:themeColor="background2" w:themeShade="BF"/>
                <w:sz w:val="20"/>
              </w:rPr>
            </w:pPr>
            <w:r w:rsidRPr="009E6828">
              <w:rPr>
                <w:rFonts w:ascii="Verdana" w:hAnsi="Verdana"/>
                <w:color w:val="AEAAAA" w:themeColor="background2" w:themeShade="BF"/>
                <w:sz w:val="20"/>
              </w:rPr>
              <w:t xml:space="preserve">Postfach 12 06 29 </w:t>
            </w:r>
          </w:p>
          <w:p w14:paraId="79ACE4D4" w14:textId="77777777" w:rsidR="00B5678A" w:rsidRPr="009E6828" w:rsidRDefault="00B5678A" w:rsidP="007F04DE">
            <w:pPr>
              <w:spacing w:after="0" w:line="240" w:lineRule="auto"/>
              <w:rPr>
                <w:rFonts w:ascii="Verdana" w:hAnsi="Verdana"/>
                <w:color w:val="AEAAAA" w:themeColor="background2" w:themeShade="BF"/>
                <w:sz w:val="20"/>
              </w:rPr>
            </w:pPr>
            <w:r w:rsidRPr="009E6828">
              <w:rPr>
                <w:rFonts w:ascii="Verdana" w:hAnsi="Verdana"/>
                <w:color w:val="AEAAAA" w:themeColor="background2" w:themeShade="BF"/>
                <w:sz w:val="20"/>
              </w:rPr>
              <w:t>53048 Bonn</w:t>
            </w:r>
          </w:p>
          <w:p w14:paraId="60AA3ADF" w14:textId="77777777" w:rsidR="00B5678A" w:rsidRDefault="00B5678A" w:rsidP="00FC48AF">
            <w:pPr>
              <w:spacing w:line="260" w:lineRule="exact"/>
              <w:rPr>
                <w:rFonts w:ascii="Verdana" w:hAnsi="Verdana"/>
                <w:b/>
                <w:bCs/>
                <w:sz w:val="20"/>
                <w:lang w:val="en-GB"/>
              </w:rPr>
            </w:pPr>
          </w:p>
        </w:tc>
        <w:tc>
          <w:tcPr>
            <w:tcW w:w="4814" w:type="dxa"/>
          </w:tcPr>
          <w:p w14:paraId="7DA15B0B" w14:textId="77777777" w:rsidR="00B5678A" w:rsidRDefault="00B5678A" w:rsidP="00FC48AF">
            <w:pPr>
              <w:spacing w:line="260" w:lineRule="exact"/>
              <w:rPr>
                <w:rFonts w:ascii="Verdana" w:hAnsi="Verdana"/>
                <w:b/>
                <w:bCs/>
                <w:sz w:val="20"/>
                <w:lang w:val="en-GB"/>
              </w:rPr>
            </w:pPr>
          </w:p>
        </w:tc>
      </w:tr>
    </w:tbl>
    <w:p w14:paraId="0DBB2F2F" w14:textId="26459969" w:rsidR="006243F2" w:rsidRDefault="00FC48AF" w:rsidP="00B5678A">
      <w:pPr>
        <w:spacing w:line="260" w:lineRule="exact"/>
        <w:rPr>
          <w:rFonts w:ascii="Verdana" w:hAnsi="Verdana"/>
          <w:b/>
          <w:bCs/>
          <w:sz w:val="20"/>
        </w:rPr>
      </w:pPr>
      <w:r w:rsidRPr="00FC48AF">
        <w:rPr>
          <w:rFonts w:ascii="Verdana" w:hAnsi="Verdana"/>
          <w:b/>
          <w:bCs/>
          <w:sz w:val="20"/>
          <w:lang w:val="en-GB"/>
        </w:rPr>
        <w:t xml:space="preserve"> </w:t>
      </w:r>
    </w:p>
    <w:p w14:paraId="31E4BB92" w14:textId="0664D02E" w:rsidR="00FC48AF" w:rsidRPr="00AE2868" w:rsidRDefault="00FC48AF" w:rsidP="00FC48AF">
      <w:pPr>
        <w:spacing w:line="260" w:lineRule="exact"/>
        <w:jc w:val="right"/>
        <w:rPr>
          <w:rFonts w:ascii="Verdana" w:hAnsi="Verdana"/>
          <w:sz w:val="20"/>
        </w:rPr>
      </w:pPr>
      <w:r w:rsidRPr="00AE2868">
        <w:rPr>
          <w:rFonts w:ascii="Verdana" w:hAnsi="Verdana"/>
          <w:sz w:val="20"/>
        </w:rPr>
        <w:t xml:space="preserve">Duisburg, </w:t>
      </w:r>
      <w:r w:rsidR="00C22BEF">
        <w:rPr>
          <w:rFonts w:ascii="Verdana" w:hAnsi="Verdana"/>
          <w:sz w:val="20"/>
        </w:rPr>
        <w:t>1</w:t>
      </w:r>
      <w:r w:rsidR="0058226D">
        <w:rPr>
          <w:rFonts w:ascii="Verdana" w:hAnsi="Verdana"/>
          <w:sz w:val="20"/>
        </w:rPr>
        <w:t>1</w:t>
      </w:r>
      <w:r w:rsidRPr="00AE2868">
        <w:rPr>
          <w:rFonts w:ascii="Verdana" w:hAnsi="Verdana"/>
          <w:sz w:val="20"/>
        </w:rPr>
        <w:t>.0</w:t>
      </w:r>
      <w:r w:rsidR="007F04DE">
        <w:rPr>
          <w:rFonts w:ascii="Verdana" w:hAnsi="Verdana"/>
          <w:sz w:val="20"/>
        </w:rPr>
        <w:t>9</w:t>
      </w:r>
      <w:r w:rsidRPr="00AE2868">
        <w:rPr>
          <w:rFonts w:ascii="Verdana" w:hAnsi="Verdana"/>
          <w:sz w:val="20"/>
        </w:rPr>
        <w:t>.2024</w:t>
      </w:r>
    </w:p>
    <w:p w14:paraId="69554997" w14:textId="77777777" w:rsidR="006243F2" w:rsidRDefault="006243F2" w:rsidP="00A01474">
      <w:pPr>
        <w:spacing w:line="260" w:lineRule="exact"/>
        <w:rPr>
          <w:rFonts w:ascii="Verdana" w:hAnsi="Verdana"/>
          <w:b/>
          <w:bCs/>
          <w:sz w:val="20"/>
        </w:rPr>
      </w:pPr>
    </w:p>
    <w:p w14:paraId="3932D106" w14:textId="6828B862" w:rsidR="00F7594B" w:rsidRDefault="00F7594B" w:rsidP="00A01474">
      <w:pPr>
        <w:spacing w:line="260" w:lineRule="exact"/>
        <w:rPr>
          <w:rFonts w:ascii="Verdana" w:hAnsi="Verdana"/>
          <w:b/>
          <w:bCs/>
          <w:sz w:val="20"/>
        </w:rPr>
      </w:pPr>
      <w:r w:rsidRPr="00F7594B">
        <w:rPr>
          <w:rFonts w:ascii="Verdana" w:hAnsi="Verdana"/>
          <w:b/>
          <w:bCs/>
          <w:sz w:val="20"/>
        </w:rPr>
        <w:t xml:space="preserve">Nutzung </w:t>
      </w:r>
      <w:r w:rsidR="005D6D54">
        <w:rPr>
          <w:rFonts w:ascii="Verdana" w:hAnsi="Verdana"/>
          <w:b/>
          <w:bCs/>
          <w:sz w:val="20"/>
        </w:rPr>
        <w:t xml:space="preserve">von </w:t>
      </w:r>
      <w:r w:rsidR="00193371">
        <w:rPr>
          <w:rFonts w:ascii="Verdana" w:hAnsi="Verdana"/>
          <w:b/>
          <w:bCs/>
          <w:sz w:val="20"/>
        </w:rPr>
        <w:t>industriellen Gesteinskörnungen</w:t>
      </w:r>
      <w:r w:rsidR="00720504">
        <w:rPr>
          <w:rFonts w:ascii="Verdana" w:hAnsi="Verdana"/>
          <w:b/>
          <w:bCs/>
          <w:sz w:val="20"/>
        </w:rPr>
        <w:t xml:space="preserve"> in Beton und Zement</w:t>
      </w:r>
    </w:p>
    <w:p w14:paraId="52894F7A" w14:textId="77777777" w:rsidR="00F7594B" w:rsidRDefault="00F7594B" w:rsidP="00A01474">
      <w:pPr>
        <w:spacing w:line="260" w:lineRule="exact"/>
        <w:rPr>
          <w:rFonts w:ascii="Verdana" w:hAnsi="Verdana"/>
          <w:b/>
          <w:bCs/>
          <w:sz w:val="20"/>
        </w:rPr>
      </w:pPr>
    </w:p>
    <w:p w14:paraId="75D6AF55" w14:textId="50B18E40" w:rsidR="005675CD" w:rsidRDefault="005675CD" w:rsidP="005675CD">
      <w:pPr>
        <w:spacing w:after="120"/>
        <w:rPr>
          <w:rFonts w:ascii="Verdana" w:hAnsi="Verdana"/>
          <w:sz w:val="20"/>
        </w:rPr>
      </w:pPr>
      <w:r w:rsidRPr="005675CD">
        <w:rPr>
          <w:rFonts w:ascii="Verdana" w:hAnsi="Verdana"/>
          <w:sz w:val="20"/>
        </w:rPr>
        <w:t xml:space="preserve">Sehr geehrte Damen und Herren, </w:t>
      </w:r>
    </w:p>
    <w:p w14:paraId="1A22E6C9" w14:textId="5D99BE99" w:rsidR="00300AB6" w:rsidRDefault="008705A8" w:rsidP="005A32AD">
      <w:pPr>
        <w:spacing w:after="120"/>
        <w:rPr>
          <w:rFonts w:ascii="Verdana" w:hAnsi="Verdana"/>
          <w:sz w:val="20"/>
        </w:rPr>
      </w:pPr>
      <w:r>
        <w:rPr>
          <w:rFonts w:ascii="Verdana" w:hAnsi="Verdana"/>
          <w:sz w:val="20"/>
        </w:rPr>
        <w:t xml:space="preserve">die </w:t>
      </w:r>
      <w:r w:rsidR="00300AB6">
        <w:rPr>
          <w:rFonts w:ascii="Verdana" w:hAnsi="Verdana"/>
          <w:sz w:val="20"/>
        </w:rPr>
        <w:t xml:space="preserve">aktuellen </w:t>
      </w:r>
      <w:r>
        <w:rPr>
          <w:rFonts w:ascii="Verdana" w:hAnsi="Verdana"/>
          <w:sz w:val="20"/>
        </w:rPr>
        <w:t xml:space="preserve">Regelungen zur Bewertung der Umweltverträglichkeit von Baustoffen </w:t>
      </w:r>
      <w:r w:rsidR="00300AB6">
        <w:rPr>
          <w:rFonts w:ascii="Verdana" w:hAnsi="Verdana"/>
          <w:sz w:val="20"/>
        </w:rPr>
        <w:t>im Hochbau basieren auf nicht mehr zeitgemäßen Konzepten</w:t>
      </w:r>
      <w:r w:rsidR="006661E6">
        <w:rPr>
          <w:rFonts w:ascii="Verdana" w:hAnsi="Verdana"/>
          <w:sz w:val="20"/>
        </w:rPr>
        <w:t xml:space="preserve">, die im Widerspruch zu </w:t>
      </w:r>
      <w:r w:rsidR="00300AB6">
        <w:rPr>
          <w:rFonts w:ascii="Verdana" w:hAnsi="Verdana"/>
          <w:sz w:val="20"/>
        </w:rPr>
        <w:t xml:space="preserve">den </w:t>
      </w:r>
      <w:r w:rsidR="0065672A">
        <w:rPr>
          <w:rFonts w:ascii="Verdana" w:hAnsi="Verdana"/>
          <w:sz w:val="20"/>
        </w:rPr>
        <w:t xml:space="preserve">Zielen der Kreislaufwirtschaft und Nachhaltigkeit </w:t>
      </w:r>
      <w:r w:rsidR="00300AB6">
        <w:rPr>
          <w:rFonts w:ascii="Verdana" w:hAnsi="Verdana"/>
          <w:sz w:val="20"/>
        </w:rPr>
        <w:t>stehen</w:t>
      </w:r>
      <w:r w:rsidR="0065672A">
        <w:rPr>
          <w:rFonts w:ascii="Verdana" w:hAnsi="Verdana"/>
          <w:sz w:val="20"/>
        </w:rPr>
        <w:t xml:space="preserve">. </w:t>
      </w:r>
      <w:r w:rsidR="00300AB6">
        <w:rPr>
          <w:rFonts w:ascii="Verdana" w:hAnsi="Verdana"/>
          <w:sz w:val="20"/>
        </w:rPr>
        <w:t xml:space="preserve">Sie verhindern </w:t>
      </w:r>
      <w:r w:rsidR="00300AB6" w:rsidRPr="00C70FAA">
        <w:rPr>
          <w:rFonts w:ascii="Verdana" w:hAnsi="Verdana"/>
          <w:sz w:val="20"/>
        </w:rPr>
        <w:t>den Einsatz von industriellen Gesteinskörnungen im Hochbau</w:t>
      </w:r>
      <w:r w:rsidR="00300AB6">
        <w:rPr>
          <w:rFonts w:ascii="Verdana" w:hAnsi="Verdana"/>
          <w:sz w:val="20"/>
        </w:rPr>
        <w:t xml:space="preserve"> und </w:t>
      </w:r>
      <w:r w:rsidR="00300AB6" w:rsidRPr="00C70FAA">
        <w:rPr>
          <w:rFonts w:ascii="Verdana" w:hAnsi="Verdana"/>
          <w:sz w:val="20"/>
        </w:rPr>
        <w:t>blockieren die effektive Nutzung von Sekundärrohstoffen, obwohl deren Umweltverträglichkeit nachgewiesen werden kann</w:t>
      </w:r>
      <w:r w:rsidR="00300AB6">
        <w:rPr>
          <w:rFonts w:ascii="Verdana" w:hAnsi="Verdana"/>
          <w:sz w:val="20"/>
        </w:rPr>
        <w:t>.</w:t>
      </w:r>
    </w:p>
    <w:p w14:paraId="4C324102" w14:textId="2263FD30" w:rsidR="007A5102" w:rsidRDefault="007960CF" w:rsidP="005A32AD">
      <w:pPr>
        <w:spacing w:after="120"/>
        <w:rPr>
          <w:rFonts w:ascii="Verdana" w:hAnsi="Verdana"/>
          <w:sz w:val="20"/>
        </w:rPr>
      </w:pPr>
      <w:r w:rsidRPr="007960CF">
        <w:rPr>
          <w:rFonts w:ascii="Verdana" w:hAnsi="Verdana"/>
          <w:sz w:val="20"/>
        </w:rPr>
        <w:t>Um den dringenden Herausforderungen de</w:t>
      </w:r>
      <w:r w:rsidR="00885A48">
        <w:rPr>
          <w:rFonts w:ascii="Verdana" w:hAnsi="Verdana"/>
          <w:sz w:val="20"/>
        </w:rPr>
        <w:t xml:space="preserve">r </w:t>
      </w:r>
      <w:r w:rsidRPr="007960CF">
        <w:rPr>
          <w:rFonts w:ascii="Verdana" w:hAnsi="Verdana"/>
          <w:sz w:val="20"/>
        </w:rPr>
        <w:t>Ressourcenschonung</w:t>
      </w:r>
      <w:r>
        <w:rPr>
          <w:rFonts w:ascii="Verdana" w:hAnsi="Verdana"/>
          <w:sz w:val="20"/>
        </w:rPr>
        <w:t xml:space="preserve"> </w:t>
      </w:r>
      <w:r w:rsidR="00885A48">
        <w:rPr>
          <w:rFonts w:ascii="Verdana" w:hAnsi="Verdana"/>
          <w:sz w:val="20"/>
        </w:rPr>
        <w:t>und Umweltschutzes gerecht zu werden</w:t>
      </w:r>
      <w:r w:rsidR="00CF6C65">
        <w:rPr>
          <w:rFonts w:ascii="Verdana" w:hAnsi="Verdana"/>
          <w:sz w:val="20"/>
        </w:rPr>
        <w:t xml:space="preserve"> </w:t>
      </w:r>
      <w:r w:rsidR="00903F3F">
        <w:rPr>
          <w:rFonts w:ascii="Verdana" w:hAnsi="Verdana"/>
          <w:sz w:val="20"/>
        </w:rPr>
        <w:t>und gleichzeitig d</w:t>
      </w:r>
      <w:r w:rsidR="00903F3F" w:rsidRPr="00903F3F">
        <w:rPr>
          <w:rFonts w:ascii="Verdana" w:hAnsi="Verdana"/>
          <w:sz w:val="20"/>
        </w:rPr>
        <w:t>ie Potenziale der Kreislaufwirtschaft voll aus</w:t>
      </w:r>
      <w:r w:rsidR="007A5102">
        <w:rPr>
          <w:rFonts w:ascii="Verdana" w:hAnsi="Verdana"/>
          <w:sz w:val="20"/>
        </w:rPr>
        <w:t>zu</w:t>
      </w:r>
      <w:r w:rsidR="00903F3F" w:rsidRPr="00903F3F">
        <w:rPr>
          <w:rFonts w:ascii="Verdana" w:hAnsi="Verdana"/>
          <w:sz w:val="20"/>
        </w:rPr>
        <w:t>schöpfen</w:t>
      </w:r>
      <w:r w:rsidR="007A5102">
        <w:rPr>
          <w:rFonts w:ascii="Verdana" w:hAnsi="Verdana"/>
          <w:sz w:val="20"/>
        </w:rPr>
        <w:t xml:space="preserve">, besteht </w:t>
      </w:r>
      <w:r w:rsidR="005B5BBB">
        <w:rPr>
          <w:rFonts w:ascii="Verdana" w:hAnsi="Verdana"/>
          <w:sz w:val="20"/>
        </w:rPr>
        <w:t xml:space="preserve">dringender Handlungsbedarf. </w:t>
      </w:r>
    </w:p>
    <w:p w14:paraId="525DBC8D" w14:textId="1A30E5B1" w:rsidR="007A5102" w:rsidRDefault="005B5BBB" w:rsidP="005A32AD">
      <w:pPr>
        <w:spacing w:after="120"/>
        <w:rPr>
          <w:rFonts w:ascii="Verdana" w:hAnsi="Verdana"/>
          <w:sz w:val="20"/>
        </w:rPr>
      </w:pPr>
      <w:r w:rsidRPr="005B5BBB">
        <w:rPr>
          <w:rFonts w:ascii="Verdana" w:hAnsi="Verdana"/>
          <w:sz w:val="20"/>
        </w:rPr>
        <w:t>In der beigefügten Stellungnahme erläutern wir die erforderlichen Anpassungen und unterbreiten konstruktive Vorschläge, wie die aktuellen Hemmnisse überwunden werden können.</w:t>
      </w:r>
    </w:p>
    <w:p w14:paraId="35B20FF2" w14:textId="3D7C8D7B" w:rsidR="00B245AE" w:rsidRDefault="00903F3F" w:rsidP="005B5BBB">
      <w:pPr>
        <w:spacing w:after="120"/>
        <w:rPr>
          <w:rFonts w:ascii="Verdana" w:hAnsi="Verdana"/>
          <w:sz w:val="20"/>
        </w:rPr>
      </w:pPr>
      <w:r w:rsidRPr="00903F3F">
        <w:rPr>
          <w:rFonts w:ascii="Verdana" w:hAnsi="Verdana"/>
          <w:sz w:val="20"/>
        </w:rPr>
        <w:t xml:space="preserve"> </w:t>
      </w:r>
    </w:p>
    <w:p w14:paraId="15C58710" w14:textId="77777777" w:rsidR="00B245AE" w:rsidRDefault="00B245AE" w:rsidP="005675CD">
      <w:pPr>
        <w:spacing w:after="120"/>
        <w:rPr>
          <w:rFonts w:ascii="Verdana" w:hAnsi="Verdana"/>
          <w:sz w:val="20"/>
        </w:rPr>
      </w:pPr>
    </w:p>
    <w:p w14:paraId="555C21EA" w14:textId="77777777" w:rsidR="00B245AE" w:rsidRDefault="00B245AE" w:rsidP="005675CD">
      <w:pPr>
        <w:spacing w:after="120"/>
        <w:rPr>
          <w:rFonts w:ascii="Verdana" w:hAnsi="Verdana"/>
          <w:sz w:val="20"/>
        </w:rPr>
      </w:pPr>
    </w:p>
    <w:p w14:paraId="40354AD1" w14:textId="77777777" w:rsidR="00B245AE" w:rsidRDefault="00B245AE" w:rsidP="005675CD">
      <w:pPr>
        <w:spacing w:after="120"/>
        <w:rPr>
          <w:rFonts w:ascii="Verdana" w:hAnsi="Verdana"/>
          <w:sz w:val="20"/>
        </w:rPr>
      </w:pPr>
    </w:p>
    <w:p w14:paraId="25BAB7A3" w14:textId="77777777" w:rsidR="00B247FA" w:rsidRDefault="00B247FA" w:rsidP="005675CD">
      <w:pPr>
        <w:spacing w:after="120"/>
        <w:rPr>
          <w:rFonts w:ascii="Verdana" w:hAnsi="Verdana"/>
          <w:sz w:val="20"/>
        </w:rPr>
      </w:pPr>
    </w:p>
    <w:p w14:paraId="015FAA32" w14:textId="77777777" w:rsidR="00B247FA" w:rsidRDefault="00B247FA" w:rsidP="005675CD">
      <w:pPr>
        <w:spacing w:after="120"/>
        <w:rPr>
          <w:rFonts w:ascii="Verdana" w:hAnsi="Verdana"/>
          <w:sz w:val="20"/>
        </w:rPr>
      </w:pPr>
    </w:p>
    <w:p w14:paraId="213F1926" w14:textId="77777777" w:rsidR="00440D06" w:rsidRDefault="00440D06" w:rsidP="005675CD">
      <w:pPr>
        <w:spacing w:after="120"/>
        <w:rPr>
          <w:rFonts w:ascii="Verdana" w:hAnsi="Verdana"/>
          <w:sz w:val="20"/>
        </w:rPr>
      </w:pPr>
    </w:p>
    <w:p w14:paraId="6B860756" w14:textId="77777777" w:rsidR="005A32AD" w:rsidRDefault="005A32AD" w:rsidP="005675CD">
      <w:pPr>
        <w:spacing w:after="120"/>
        <w:rPr>
          <w:rFonts w:ascii="Verdana" w:hAnsi="Verdana"/>
          <w:sz w:val="20"/>
        </w:rPr>
      </w:pPr>
    </w:p>
    <w:p w14:paraId="1623F194" w14:textId="616F0E1D" w:rsidR="00145A0A" w:rsidRDefault="00145A0A" w:rsidP="00145A0A">
      <w:pPr>
        <w:spacing w:after="120"/>
        <w:jc w:val="center"/>
        <w:rPr>
          <w:rFonts w:ascii="Verdana" w:hAnsi="Verdana"/>
          <w:b/>
          <w:bCs/>
          <w:sz w:val="20"/>
        </w:rPr>
      </w:pPr>
      <w:r>
        <w:rPr>
          <w:rFonts w:ascii="Verdana" w:hAnsi="Verdana"/>
          <w:b/>
          <w:bCs/>
          <w:sz w:val="20"/>
        </w:rPr>
        <w:lastRenderedPageBreak/>
        <w:t>Regulativer Anpassungsbedarf für Sekundärrohstoffe im Hochbau</w:t>
      </w:r>
    </w:p>
    <w:p w14:paraId="4F2E6368" w14:textId="2561412F" w:rsidR="00145A0A" w:rsidRPr="00AE2868" w:rsidRDefault="00145A0A" w:rsidP="00145A0A">
      <w:pPr>
        <w:spacing w:line="260" w:lineRule="exact"/>
        <w:jc w:val="right"/>
        <w:rPr>
          <w:rFonts w:ascii="Verdana" w:hAnsi="Verdana"/>
          <w:sz w:val="20"/>
        </w:rPr>
      </w:pPr>
      <w:r w:rsidRPr="00AE2868">
        <w:rPr>
          <w:rFonts w:ascii="Verdana" w:hAnsi="Verdana"/>
          <w:sz w:val="20"/>
        </w:rPr>
        <w:t xml:space="preserve">Duisburg, </w:t>
      </w:r>
      <w:r w:rsidR="0058226D">
        <w:rPr>
          <w:rFonts w:ascii="Verdana" w:hAnsi="Verdana"/>
          <w:sz w:val="20"/>
        </w:rPr>
        <w:t>11</w:t>
      </w:r>
      <w:r w:rsidRPr="00AE2868">
        <w:rPr>
          <w:rFonts w:ascii="Verdana" w:hAnsi="Verdana"/>
          <w:sz w:val="20"/>
        </w:rPr>
        <w:t>.0</w:t>
      </w:r>
      <w:r>
        <w:rPr>
          <w:rFonts w:ascii="Verdana" w:hAnsi="Verdana"/>
          <w:sz w:val="20"/>
        </w:rPr>
        <w:t>9</w:t>
      </w:r>
      <w:r w:rsidRPr="00AE2868">
        <w:rPr>
          <w:rFonts w:ascii="Verdana" w:hAnsi="Verdana"/>
          <w:sz w:val="20"/>
        </w:rPr>
        <w:t>.2024</w:t>
      </w:r>
    </w:p>
    <w:p w14:paraId="5DB5E710" w14:textId="35E9C56A" w:rsidR="00046714" w:rsidRPr="005A32AD" w:rsidRDefault="00AA77E0" w:rsidP="005675CD">
      <w:pPr>
        <w:spacing w:after="120"/>
        <w:rPr>
          <w:rFonts w:ascii="Verdana" w:hAnsi="Verdana"/>
          <w:b/>
          <w:bCs/>
          <w:sz w:val="20"/>
        </w:rPr>
      </w:pPr>
      <w:r>
        <w:rPr>
          <w:rFonts w:ascii="Verdana" w:hAnsi="Verdana"/>
          <w:b/>
          <w:bCs/>
          <w:sz w:val="20"/>
        </w:rPr>
        <w:t>Kurzfassung</w:t>
      </w:r>
    </w:p>
    <w:p w14:paraId="5A34CE62" w14:textId="00160DD8" w:rsidR="009E0D4E" w:rsidRDefault="00D9533D" w:rsidP="00D9533D">
      <w:pPr>
        <w:pStyle w:val="StandardWeb"/>
        <w:spacing w:line="360" w:lineRule="auto"/>
        <w:jc w:val="both"/>
        <w:rPr>
          <w:rFonts w:ascii="Verdana" w:hAnsi="Verdana"/>
          <w:sz w:val="20"/>
          <w:szCs w:val="20"/>
        </w:rPr>
      </w:pPr>
      <w:r w:rsidRPr="00D9533D">
        <w:rPr>
          <w:rFonts w:ascii="Verdana" w:hAnsi="Verdana"/>
          <w:sz w:val="20"/>
          <w:szCs w:val="20"/>
        </w:rPr>
        <w:t xml:space="preserve">Die Verwendung von Sekundärrohstoffen im Straßen-, Wege- und Wasserbau ist seit langem etabliert und bewährt. </w:t>
      </w:r>
      <w:r w:rsidR="00CA4FA0" w:rsidRPr="00CA4FA0">
        <w:rPr>
          <w:rFonts w:ascii="Verdana" w:hAnsi="Verdana"/>
          <w:sz w:val="20"/>
          <w:szCs w:val="20"/>
        </w:rPr>
        <w:t>Die Bewertung der Umweltverträglichkeit dieser Materialien erfolgt dabei in der Regel anhand ihres Auslaugverhaltens in der Form, in der sie verwendet werden.</w:t>
      </w:r>
      <w:r w:rsidR="00CA4FA0">
        <w:rPr>
          <w:rFonts w:ascii="Verdana" w:hAnsi="Verdana"/>
          <w:sz w:val="20"/>
          <w:szCs w:val="20"/>
        </w:rPr>
        <w:t xml:space="preserve"> </w:t>
      </w:r>
      <w:r w:rsidR="00976D25" w:rsidRPr="00976D25">
        <w:rPr>
          <w:rFonts w:ascii="Verdana" w:hAnsi="Verdana"/>
          <w:sz w:val="20"/>
          <w:szCs w:val="20"/>
        </w:rPr>
        <w:t xml:space="preserve">Seit dem 1. August 2023 ist hierfür die Ersatzbaustoffverordnung (EBV) maßgeblich, während zuvor </w:t>
      </w:r>
      <w:r w:rsidR="008705A8">
        <w:rPr>
          <w:rFonts w:ascii="Verdana" w:hAnsi="Verdana"/>
          <w:sz w:val="20"/>
          <w:szCs w:val="20"/>
        </w:rPr>
        <w:t xml:space="preserve">Länderregelungen, </w:t>
      </w:r>
      <w:r w:rsidR="00976D25" w:rsidRPr="00976D25">
        <w:rPr>
          <w:rFonts w:ascii="Verdana" w:hAnsi="Verdana"/>
          <w:sz w:val="20"/>
          <w:szCs w:val="20"/>
        </w:rPr>
        <w:t xml:space="preserve">vorwiegend </w:t>
      </w:r>
      <w:r w:rsidR="008705A8">
        <w:rPr>
          <w:rFonts w:ascii="Verdana" w:hAnsi="Verdana"/>
          <w:sz w:val="20"/>
          <w:szCs w:val="20"/>
        </w:rPr>
        <w:t>basierend auf der</w:t>
      </w:r>
      <w:r w:rsidR="008705A8" w:rsidRPr="00976D25">
        <w:rPr>
          <w:rFonts w:ascii="Verdana" w:hAnsi="Verdana"/>
          <w:sz w:val="20"/>
          <w:szCs w:val="20"/>
        </w:rPr>
        <w:t xml:space="preserve"> </w:t>
      </w:r>
      <w:r w:rsidR="00976D25" w:rsidRPr="00976D25">
        <w:rPr>
          <w:rFonts w:ascii="Verdana" w:hAnsi="Verdana"/>
          <w:sz w:val="20"/>
          <w:szCs w:val="20"/>
        </w:rPr>
        <w:t xml:space="preserve">Mitteilung 20 der </w:t>
      </w:r>
      <w:r w:rsidR="008705A8">
        <w:rPr>
          <w:rFonts w:ascii="Verdana" w:hAnsi="Verdana"/>
          <w:sz w:val="20"/>
          <w:szCs w:val="20"/>
        </w:rPr>
        <w:t>Bund/</w:t>
      </w:r>
      <w:r w:rsidR="008705A8" w:rsidRPr="00976D25">
        <w:rPr>
          <w:rFonts w:ascii="Verdana" w:hAnsi="Verdana"/>
          <w:sz w:val="20"/>
          <w:szCs w:val="20"/>
        </w:rPr>
        <w:t>Länder</w:t>
      </w:r>
      <w:r w:rsidR="008705A8">
        <w:rPr>
          <w:rFonts w:ascii="Verdana" w:hAnsi="Verdana"/>
          <w:sz w:val="20"/>
          <w:szCs w:val="20"/>
        </w:rPr>
        <w:t>-A</w:t>
      </w:r>
      <w:r w:rsidR="008705A8" w:rsidRPr="00976D25">
        <w:rPr>
          <w:rFonts w:ascii="Verdana" w:hAnsi="Verdana"/>
          <w:sz w:val="20"/>
          <w:szCs w:val="20"/>
        </w:rPr>
        <w:t xml:space="preserve">rbeitsgemeinschaft </w:t>
      </w:r>
      <w:r w:rsidR="00976D25" w:rsidRPr="00976D25">
        <w:rPr>
          <w:rFonts w:ascii="Verdana" w:hAnsi="Verdana"/>
          <w:sz w:val="20"/>
          <w:szCs w:val="20"/>
        </w:rPr>
        <w:t>Abfall (LAGA) Anwendung fand.</w:t>
      </w:r>
      <w:r w:rsidR="00976D25">
        <w:rPr>
          <w:rFonts w:ascii="Verdana" w:hAnsi="Verdana"/>
          <w:sz w:val="20"/>
          <w:szCs w:val="20"/>
        </w:rPr>
        <w:t xml:space="preserve"> </w:t>
      </w:r>
    </w:p>
    <w:p w14:paraId="6018D719" w14:textId="3382CB8F" w:rsidR="001F56DE" w:rsidRDefault="001F56DE" w:rsidP="00D9533D">
      <w:pPr>
        <w:pStyle w:val="StandardWeb"/>
        <w:spacing w:line="360" w:lineRule="auto"/>
        <w:jc w:val="both"/>
        <w:rPr>
          <w:rFonts w:ascii="Verdana" w:hAnsi="Verdana"/>
          <w:sz w:val="20"/>
          <w:szCs w:val="20"/>
        </w:rPr>
      </w:pPr>
      <w:r w:rsidRPr="001F56DE">
        <w:rPr>
          <w:rFonts w:ascii="Verdana" w:hAnsi="Verdana"/>
          <w:sz w:val="20"/>
          <w:szCs w:val="20"/>
        </w:rPr>
        <w:t>Im Hochbau hingegen, wo Sekundärrohstoffe als Gesteinskörnung in Beton genutzt werden könnten, s</w:t>
      </w:r>
      <w:r w:rsidR="003D13A3">
        <w:rPr>
          <w:rFonts w:ascii="Verdana" w:hAnsi="Verdana"/>
          <w:sz w:val="20"/>
          <w:szCs w:val="20"/>
        </w:rPr>
        <w:t>etzt</w:t>
      </w:r>
      <w:r w:rsidRPr="001F56DE">
        <w:rPr>
          <w:rFonts w:ascii="Verdana" w:hAnsi="Verdana"/>
          <w:sz w:val="20"/>
          <w:szCs w:val="20"/>
        </w:rPr>
        <w:t xml:space="preserve"> die ABuG (</w:t>
      </w:r>
      <w:r w:rsidR="00E406F0" w:rsidRPr="00E406F0">
        <w:rPr>
          <w:rFonts w:ascii="Verdana" w:hAnsi="Verdana"/>
          <w:sz w:val="20"/>
          <w:szCs w:val="20"/>
        </w:rPr>
        <w:t>"Anforderungen an bauliche Anlagen bezüglich der Auswirkungen auf Boden und Gewässer"</w:t>
      </w:r>
      <w:r w:rsidR="0048276F">
        <w:rPr>
          <w:rFonts w:ascii="Verdana" w:hAnsi="Verdana"/>
          <w:sz w:val="20"/>
          <w:szCs w:val="20"/>
        </w:rPr>
        <w:t>,</w:t>
      </w:r>
      <w:r w:rsidR="00E406F0" w:rsidRPr="00E406F0">
        <w:rPr>
          <w:rFonts w:ascii="Verdana" w:hAnsi="Verdana"/>
          <w:sz w:val="20"/>
          <w:szCs w:val="20"/>
        </w:rPr>
        <w:t xml:space="preserve"> </w:t>
      </w:r>
      <w:r w:rsidR="00E406F0">
        <w:rPr>
          <w:rFonts w:ascii="Verdana" w:hAnsi="Verdana"/>
          <w:sz w:val="20"/>
          <w:szCs w:val="20"/>
        </w:rPr>
        <w:t xml:space="preserve">Anhang 10 </w:t>
      </w:r>
      <w:r w:rsidR="00E406F0" w:rsidRPr="00E406F0">
        <w:rPr>
          <w:rFonts w:ascii="Verdana" w:hAnsi="Verdana"/>
          <w:sz w:val="20"/>
          <w:szCs w:val="20"/>
        </w:rPr>
        <w:t>der Muster-Verwaltungsvorschrift Technische Baubestimmungen (MVV TB)</w:t>
      </w:r>
      <w:r w:rsidR="00E406F0">
        <w:rPr>
          <w:rFonts w:ascii="Verdana" w:hAnsi="Verdana"/>
          <w:sz w:val="20"/>
          <w:szCs w:val="20"/>
        </w:rPr>
        <w:t xml:space="preserve">) </w:t>
      </w:r>
      <w:r w:rsidR="008705A8">
        <w:rPr>
          <w:rFonts w:ascii="Verdana" w:hAnsi="Verdana"/>
          <w:sz w:val="20"/>
          <w:szCs w:val="20"/>
        </w:rPr>
        <w:t xml:space="preserve">andere </w:t>
      </w:r>
      <w:r w:rsidR="00A1731B">
        <w:rPr>
          <w:rFonts w:ascii="Verdana" w:hAnsi="Verdana"/>
          <w:sz w:val="20"/>
          <w:szCs w:val="20"/>
        </w:rPr>
        <w:t>Maßstäbe an.</w:t>
      </w:r>
      <w:r w:rsidRPr="001F56DE">
        <w:rPr>
          <w:rFonts w:ascii="Verdana" w:hAnsi="Verdana"/>
          <w:sz w:val="20"/>
          <w:szCs w:val="20"/>
        </w:rPr>
        <w:t xml:space="preserve"> Neben Eluatgrenzwerten für das Bauprodukt Beton gelten auch zusätzliche Eluat- und Feststoffgrenzwerte für die </w:t>
      </w:r>
      <w:r w:rsidR="00A1731B">
        <w:rPr>
          <w:rFonts w:ascii="Verdana" w:hAnsi="Verdana"/>
          <w:sz w:val="20"/>
          <w:szCs w:val="20"/>
        </w:rPr>
        <w:t>Einsatzmaterialien</w:t>
      </w:r>
      <w:r w:rsidRPr="001F56DE">
        <w:rPr>
          <w:rFonts w:ascii="Verdana" w:hAnsi="Verdana"/>
          <w:sz w:val="20"/>
          <w:szCs w:val="20"/>
        </w:rPr>
        <w:t xml:space="preserve">. Dies führt dazu, dass bestimmte Sekundärrohstoffe von der Verwendung als </w:t>
      </w:r>
      <w:r w:rsidR="008705A8">
        <w:rPr>
          <w:rFonts w:ascii="Verdana" w:hAnsi="Verdana"/>
          <w:sz w:val="20"/>
          <w:szCs w:val="20"/>
        </w:rPr>
        <w:t>G</w:t>
      </w:r>
      <w:r w:rsidR="008705A8" w:rsidRPr="001F56DE">
        <w:rPr>
          <w:rFonts w:ascii="Verdana" w:hAnsi="Verdana"/>
          <w:sz w:val="20"/>
          <w:szCs w:val="20"/>
        </w:rPr>
        <w:t xml:space="preserve">esteinskörnung </w:t>
      </w:r>
      <w:r w:rsidR="008705A8">
        <w:rPr>
          <w:rFonts w:ascii="Verdana" w:hAnsi="Verdana"/>
          <w:sz w:val="20"/>
          <w:szCs w:val="20"/>
        </w:rPr>
        <w:t xml:space="preserve">für Beton </w:t>
      </w:r>
      <w:r w:rsidRPr="001F56DE">
        <w:rPr>
          <w:rFonts w:ascii="Verdana" w:hAnsi="Verdana"/>
          <w:sz w:val="20"/>
          <w:szCs w:val="20"/>
        </w:rPr>
        <w:t xml:space="preserve">ausgeschlossen sind, da insbesondere die Feststoffgrenzwerte häufig nicht eingehalten werden können. Diese Einschränkung betrifft </w:t>
      </w:r>
      <w:r w:rsidR="00A279D5">
        <w:rPr>
          <w:rFonts w:ascii="Verdana" w:hAnsi="Verdana"/>
          <w:sz w:val="20"/>
          <w:szCs w:val="20"/>
        </w:rPr>
        <w:t xml:space="preserve">aufgrund der Adaption der Regelungen </w:t>
      </w:r>
      <w:r w:rsidRPr="001F56DE">
        <w:rPr>
          <w:rFonts w:ascii="Verdana" w:hAnsi="Verdana"/>
          <w:sz w:val="20"/>
          <w:szCs w:val="20"/>
        </w:rPr>
        <w:t>auch den Einsatz solcher Rohstoffe als Zementbestandteil oder Betonzusatzstoff.</w:t>
      </w:r>
    </w:p>
    <w:p w14:paraId="212583D5" w14:textId="62DA485C" w:rsidR="003945BE" w:rsidRDefault="0048276F" w:rsidP="0048276F">
      <w:pPr>
        <w:pStyle w:val="StandardWeb"/>
        <w:spacing w:line="360" w:lineRule="auto"/>
        <w:jc w:val="both"/>
        <w:rPr>
          <w:rFonts w:ascii="Verdana" w:hAnsi="Verdana"/>
          <w:sz w:val="20"/>
          <w:szCs w:val="20"/>
        </w:rPr>
      </w:pPr>
      <w:r w:rsidRPr="00D9533D">
        <w:rPr>
          <w:rFonts w:ascii="Verdana" w:hAnsi="Verdana"/>
          <w:sz w:val="20"/>
          <w:szCs w:val="20"/>
        </w:rPr>
        <w:t xml:space="preserve">Dies </w:t>
      </w:r>
      <w:r>
        <w:rPr>
          <w:rFonts w:ascii="Verdana" w:hAnsi="Verdana"/>
          <w:sz w:val="20"/>
          <w:szCs w:val="20"/>
        </w:rPr>
        <w:t>s</w:t>
      </w:r>
      <w:r w:rsidRPr="00B65C7D">
        <w:rPr>
          <w:rFonts w:ascii="Verdana" w:hAnsi="Verdana"/>
          <w:sz w:val="20"/>
          <w:szCs w:val="20"/>
        </w:rPr>
        <w:t>chafft eine widersprüchliche Situation:</w:t>
      </w:r>
      <w:r>
        <w:rPr>
          <w:rFonts w:ascii="Verdana" w:hAnsi="Verdana"/>
          <w:sz w:val="20"/>
          <w:szCs w:val="20"/>
        </w:rPr>
        <w:t xml:space="preserve"> </w:t>
      </w:r>
      <w:r w:rsidRPr="00D9533D">
        <w:rPr>
          <w:rFonts w:ascii="Verdana" w:hAnsi="Verdana"/>
          <w:sz w:val="20"/>
          <w:szCs w:val="20"/>
        </w:rPr>
        <w:t xml:space="preserve">Während Material im Verkehrswegebau ungebunden oder gebunden verwendet werden darf, ist </w:t>
      </w:r>
      <w:r w:rsidR="008705A8">
        <w:rPr>
          <w:rFonts w:ascii="Verdana" w:hAnsi="Verdana"/>
          <w:sz w:val="20"/>
          <w:szCs w:val="20"/>
        </w:rPr>
        <w:t>das identische Material</w:t>
      </w:r>
      <w:r w:rsidR="008705A8" w:rsidRPr="00D9533D">
        <w:rPr>
          <w:rFonts w:ascii="Verdana" w:hAnsi="Verdana"/>
          <w:sz w:val="20"/>
          <w:szCs w:val="20"/>
        </w:rPr>
        <w:t xml:space="preserve"> </w:t>
      </w:r>
      <w:r w:rsidRPr="00D9533D">
        <w:rPr>
          <w:rFonts w:ascii="Verdana" w:hAnsi="Verdana"/>
          <w:sz w:val="20"/>
          <w:szCs w:val="20"/>
        </w:rPr>
        <w:t xml:space="preserve">im Hochbau als Bestandteil einer dichten Betonmatrix nicht zulässig. </w:t>
      </w:r>
      <w:r w:rsidR="003945BE" w:rsidRPr="003945BE">
        <w:rPr>
          <w:rFonts w:ascii="Verdana" w:hAnsi="Verdana"/>
          <w:sz w:val="20"/>
          <w:szCs w:val="20"/>
        </w:rPr>
        <w:t>Kurioserweise darf es jedoch in Betonwaren wieder zum Einsatz kommen.</w:t>
      </w:r>
    </w:p>
    <w:p w14:paraId="505B5A5B" w14:textId="33F85E5F" w:rsidR="005179DA" w:rsidRPr="00D9533D" w:rsidRDefault="005179DA" w:rsidP="0048276F">
      <w:pPr>
        <w:pStyle w:val="StandardWeb"/>
        <w:spacing w:line="360" w:lineRule="auto"/>
        <w:jc w:val="both"/>
        <w:rPr>
          <w:rFonts w:ascii="Verdana" w:hAnsi="Verdana"/>
          <w:sz w:val="20"/>
          <w:szCs w:val="20"/>
        </w:rPr>
      </w:pPr>
      <w:r w:rsidRPr="005179DA">
        <w:rPr>
          <w:rFonts w:ascii="Verdana" w:hAnsi="Verdana"/>
          <w:sz w:val="20"/>
          <w:szCs w:val="20"/>
        </w:rPr>
        <w:t xml:space="preserve">Der Hauptgrund für die Festlegung von Feststoffgrenzwerten für Betonbestandteile liegt in der Sorge vor einer "Schadstoffanreicherung im Wertstoffkreislauf". Dies gilt auch für Sekundärrohstoffe, </w:t>
      </w:r>
      <w:r w:rsidR="00C45769">
        <w:rPr>
          <w:rFonts w:ascii="Verdana" w:hAnsi="Verdana"/>
          <w:sz w:val="20"/>
          <w:szCs w:val="20"/>
        </w:rPr>
        <w:t xml:space="preserve">von denen nachweislich </w:t>
      </w:r>
      <w:r w:rsidR="00313ECC" w:rsidRPr="005179DA">
        <w:rPr>
          <w:rFonts w:ascii="Verdana" w:hAnsi="Verdana"/>
          <w:sz w:val="20"/>
          <w:szCs w:val="20"/>
        </w:rPr>
        <w:t>keine toxische Wirkung</w:t>
      </w:r>
      <w:r w:rsidR="002313E5">
        <w:rPr>
          <w:rFonts w:ascii="Verdana" w:hAnsi="Verdana"/>
          <w:sz w:val="20"/>
          <w:szCs w:val="20"/>
        </w:rPr>
        <w:t xml:space="preserve"> zu besorgen ist.</w:t>
      </w:r>
      <w:r w:rsidRPr="005179DA">
        <w:rPr>
          <w:rFonts w:ascii="Verdana" w:hAnsi="Verdana"/>
          <w:sz w:val="20"/>
          <w:szCs w:val="20"/>
        </w:rPr>
        <w:t xml:space="preserve"> </w:t>
      </w:r>
      <w:r w:rsidR="009E6422">
        <w:rPr>
          <w:rFonts w:ascii="Verdana" w:hAnsi="Verdana"/>
          <w:sz w:val="20"/>
          <w:szCs w:val="20"/>
        </w:rPr>
        <w:t>Dabei gibt e</w:t>
      </w:r>
      <w:r w:rsidRPr="005179DA">
        <w:rPr>
          <w:rFonts w:ascii="Verdana" w:hAnsi="Verdana"/>
          <w:sz w:val="20"/>
          <w:szCs w:val="20"/>
        </w:rPr>
        <w:t xml:space="preserve">s keinerlei Belege dafür, dass die Überschreitung der in der ABuG festgelegten Feststoffgrenzwerte eine Gefahr für Mensch, Boden oder Grundwasser darstellt. Eine ausgewogene Abwägung zwischen dem Ressourcenschutz durch die Nutzung von Sekundärrohstoffen und dem Schutz von Umwelt und menschlicher Gesundheit – wie </w:t>
      </w:r>
      <w:r w:rsidR="008705A8">
        <w:rPr>
          <w:rFonts w:ascii="Verdana" w:hAnsi="Verdana"/>
          <w:sz w:val="20"/>
          <w:szCs w:val="20"/>
        </w:rPr>
        <w:t>sie</w:t>
      </w:r>
      <w:r w:rsidR="008705A8" w:rsidRPr="005179DA">
        <w:rPr>
          <w:rFonts w:ascii="Verdana" w:hAnsi="Verdana"/>
          <w:sz w:val="20"/>
          <w:szCs w:val="20"/>
        </w:rPr>
        <w:t xml:space="preserve"> </w:t>
      </w:r>
      <w:r w:rsidRPr="005179DA">
        <w:rPr>
          <w:rFonts w:ascii="Verdana" w:hAnsi="Verdana"/>
          <w:sz w:val="20"/>
          <w:szCs w:val="20"/>
        </w:rPr>
        <w:t>das Kreislaufwirtschaftsgesetz fordert – wurde hierbei nicht ausreichend vorgenommen.</w:t>
      </w:r>
    </w:p>
    <w:p w14:paraId="1EF3FD81" w14:textId="7E03FD38" w:rsidR="001F56DE" w:rsidRDefault="00AD6C81" w:rsidP="00D9533D">
      <w:pPr>
        <w:pStyle w:val="StandardWeb"/>
        <w:spacing w:line="360" w:lineRule="auto"/>
        <w:jc w:val="both"/>
        <w:rPr>
          <w:rFonts w:ascii="Verdana" w:hAnsi="Verdana"/>
          <w:sz w:val="20"/>
          <w:szCs w:val="20"/>
        </w:rPr>
      </w:pPr>
      <w:r w:rsidRPr="00AD6C81">
        <w:rPr>
          <w:rFonts w:ascii="Verdana" w:hAnsi="Verdana"/>
          <w:sz w:val="20"/>
          <w:szCs w:val="20"/>
        </w:rPr>
        <w:lastRenderedPageBreak/>
        <w:t xml:space="preserve">Der aktuelle Ausschluss industrieller Gesteinskörnungen im Hochbau steht </w:t>
      </w:r>
      <w:r w:rsidR="002553A0">
        <w:rPr>
          <w:rFonts w:ascii="Verdana" w:hAnsi="Verdana"/>
          <w:sz w:val="20"/>
          <w:szCs w:val="20"/>
        </w:rPr>
        <w:t>som</w:t>
      </w:r>
      <w:r w:rsidR="003945BE">
        <w:rPr>
          <w:rFonts w:ascii="Verdana" w:hAnsi="Verdana"/>
          <w:sz w:val="20"/>
          <w:szCs w:val="20"/>
        </w:rPr>
        <w:t xml:space="preserve">it </w:t>
      </w:r>
      <w:r w:rsidRPr="00AD6C81">
        <w:rPr>
          <w:rFonts w:ascii="Verdana" w:hAnsi="Verdana"/>
          <w:sz w:val="20"/>
          <w:szCs w:val="20"/>
        </w:rPr>
        <w:t>im Widerspruch zu den Zielen der Kreislaufwirtschaft. Er behindert eine effiziente Ressourcennutzung und Abfallvermeidung, während gleichzeitig der Abbau natürlicher Rohstoffe ungebremst fortgesetzt wird. Dies belastet nicht nur die natürlichen Ressourcen, sondern erhöht auch den CO₂-Fußabdruck des Bauwesens.</w:t>
      </w:r>
    </w:p>
    <w:p w14:paraId="5A8FC552" w14:textId="703E5EB9" w:rsidR="00ED7944" w:rsidRDefault="00ED7944" w:rsidP="00ED7944">
      <w:pPr>
        <w:spacing w:after="120"/>
        <w:rPr>
          <w:rFonts w:ascii="Verdana" w:hAnsi="Verdana"/>
          <w:sz w:val="20"/>
        </w:rPr>
      </w:pPr>
      <w:r w:rsidRPr="00322978">
        <w:rPr>
          <w:rFonts w:ascii="Verdana" w:hAnsi="Verdana"/>
          <w:sz w:val="20"/>
        </w:rPr>
        <w:t xml:space="preserve">Mit </w:t>
      </w:r>
      <w:r w:rsidR="008705A8">
        <w:rPr>
          <w:rFonts w:ascii="Verdana" w:hAnsi="Verdana"/>
          <w:sz w:val="20"/>
        </w:rPr>
        <w:t xml:space="preserve">dem Auslaufen der Kohleverstromung und </w:t>
      </w:r>
      <w:r w:rsidRPr="00322978">
        <w:rPr>
          <w:rFonts w:ascii="Verdana" w:hAnsi="Verdana"/>
          <w:sz w:val="20"/>
        </w:rPr>
        <w:t>der anstehenden Transformation der Stahlindustrie hin zu CO</w:t>
      </w:r>
      <w:r w:rsidRPr="00FA67B3">
        <w:rPr>
          <w:rFonts w:ascii="Verdana" w:hAnsi="Verdana"/>
          <w:sz w:val="20"/>
          <w:vertAlign w:val="subscript"/>
        </w:rPr>
        <w:t>2</w:t>
      </w:r>
      <w:r w:rsidRPr="00322978">
        <w:rPr>
          <w:rFonts w:ascii="Verdana" w:hAnsi="Verdana"/>
          <w:sz w:val="20"/>
        </w:rPr>
        <w:t xml:space="preserve">-freier Produktion und dem </w:t>
      </w:r>
      <w:r w:rsidR="008705A8">
        <w:rPr>
          <w:rFonts w:ascii="Verdana" w:hAnsi="Verdana"/>
          <w:sz w:val="20"/>
        </w:rPr>
        <w:t xml:space="preserve">damit einhergehenden </w:t>
      </w:r>
      <w:r w:rsidRPr="00322978">
        <w:rPr>
          <w:rFonts w:ascii="Verdana" w:hAnsi="Verdana"/>
          <w:sz w:val="20"/>
        </w:rPr>
        <w:t>schrittweisen Verschwinden des konventionellen Hüttensands als CO</w:t>
      </w:r>
      <w:r w:rsidRPr="006903F7">
        <w:rPr>
          <w:rFonts w:ascii="Verdana" w:hAnsi="Verdana"/>
          <w:sz w:val="20"/>
          <w:vertAlign w:val="subscript"/>
        </w:rPr>
        <w:t>2</w:t>
      </w:r>
      <w:r w:rsidRPr="00322978">
        <w:rPr>
          <w:rFonts w:ascii="Verdana" w:hAnsi="Verdana"/>
          <w:sz w:val="20"/>
        </w:rPr>
        <w:t>-armem Portlandzementklinkersubstitut wird der Einsatz bestimmter Sekundärrohstoffe (wie beispielsweise Stahlwerksschlacke) zunehmend relevant. Die aktuellen Regelungen hemmen jedoch diese nachhaltige Entwicklung und behindern Innovationen im Bereich der Kreislaufwirtschaft.</w:t>
      </w:r>
    </w:p>
    <w:p w14:paraId="6F7D5C69" w14:textId="26633099" w:rsidR="00351938" w:rsidRPr="00351938" w:rsidRDefault="00351938" w:rsidP="00351938">
      <w:pPr>
        <w:rPr>
          <w:rFonts w:ascii="Verdana" w:hAnsi="Verdana"/>
          <w:sz w:val="20"/>
        </w:rPr>
      </w:pPr>
      <w:r w:rsidRPr="00351938">
        <w:rPr>
          <w:rFonts w:ascii="Verdana" w:hAnsi="Verdana"/>
          <w:sz w:val="20"/>
        </w:rPr>
        <w:t xml:space="preserve">Vor diesem Hintergrund ist es dringend notwendig, die Anforderungen an Sekundärrohstoffe in </w:t>
      </w:r>
      <w:r w:rsidR="008705A8">
        <w:rPr>
          <w:rFonts w:ascii="Verdana" w:hAnsi="Verdana"/>
          <w:sz w:val="20"/>
        </w:rPr>
        <w:t>den</w:t>
      </w:r>
      <w:r w:rsidR="008705A8" w:rsidRPr="00351938">
        <w:rPr>
          <w:rFonts w:ascii="Verdana" w:hAnsi="Verdana"/>
          <w:sz w:val="20"/>
        </w:rPr>
        <w:t xml:space="preserve"> </w:t>
      </w:r>
      <w:r w:rsidRPr="00351938">
        <w:rPr>
          <w:rFonts w:ascii="Verdana" w:hAnsi="Verdana"/>
          <w:sz w:val="20"/>
        </w:rPr>
        <w:t xml:space="preserve">ABuG zu überarbeiten. Nicht die Bewertung der Einsatzstoffe </w:t>
      </w:r>
      <w:r w:rsidR="008705A8">
        <w:rPr>
          <w:rFonts w:ascii="Verdana" w:hAnsi="Verdana"/>
          <w:sz w:val="20"/>
        </w:rPr>
        <w:t>muss</w:t>
      </w:r>
      <w:r w:rsidR="008705A8" w:rsidRPr="00351938">
        <w:rPr>
          <w:rFonts w:ascii="Verdana" w:hAnsi="Verdana"/>
          <w:sz w:val="20"/>
        </w:rPr>
        <w:t xml:space="preserve"> </w:t>
      </w:r>
      <w:r w:rsidRPr="00351938">
        <w:rPr>
          <w:rFonts w:ascii="Verdana" w:hAnsi="Verdana"/>
          <w:sz w:val="20"/>
        </w:rPr>
        <w:t xml:space="preserve">im Vordergrund stehen, sondern das fertige Bauprodukt. Denn letztlich kommt das Bauprodukt in Wechselwirkung </w:t>
      </w:r>
      <w:r w:rsidR="006F7954" w:rsidRPr="00351938">
        <w:rPr>
          <w:rFonts w:ascii="Verdana" w:hAnsi="Verdana"/>
          <w:sz w:val="20"/>
        </w:rPr>
        <w:t>mit Menschen</w:t>
      </w:r>
      <w:r w:rsidRPr="00351938">
        <w:rPr>
          <w:rFonts w:ascii="Verdana" w:hAnsi="Verdana"/>
          <w:sz w:val="20"/>
        </w:rPr>
        <w:t xml:space="preserve"> und Umwelt, weshalb entscheidend ist, in welcher Menge Inhaltsstoffe aus d</w:t>
      </w:r>
      <w:r w:rsidR="008705A8">
        <w:rPr>
          <w:rFonts w:ascii="Verdana" w:hAnsi="Verdana"/>
          <w:sz w:val="20"/>
        </w:rPr>
        <w:t>ies</w:t>
      </w:r>
      <w:r w:rsidRPr="00351938">
        <w:rPr>
          <w:rFonts w:ascii="Verdana" w:hAnsi="Verdana"/>
          <w:sz w:val="20"/>
        </w:rPr>
        <w:t xml:space="preserve">em Endprodukt freigesetzt werden. </w:t>
      </w:r>
      <w:r w:rsidR="00DD7D06">
        <w:rPr>
          <w:rFonts w:ascii="Verdana" w:hAnsi="Verdana"/>
          <w:sz w:val="20"/>
        </w:rPr>
        <w:t>Für die Prüfun</w:t>
      </w:r>
      <w:r w:rsidR="00500F36">
        <w:rPr>
          <w:rFonts w:ascii="Verdana" w:hAnsi="Verdana"/>
          <w:sz w:val="20"/>
        </w:rPr>
        <w:t>g</w:t>
      </w:r>
      <w:r w:rsidR="00DD7D06">
        <w:rPr>
          <w:rFonts w:ascii="Verdana" w:hAnsi="Verdana"/>
          <w:sz w:val="20"/>
        </w:rPr>
        <w:t xml:space="preserve"> des Endprodukts Beton eign</w:t>
      </w:r>
      <w:r w:rsidR="00500F36">
        <w:rPr>
          <w:rFonts w:ascii="Verdana" w:hAnsi="Verdana"/>
          <w:sz w:val="20"/>
        </w:rPr>
        <w:t>e</w:t>
      </w:r>
      <w:r w:rsidR="00DD7D06">
        <w:rPr>
          <w:rFonts w:ascii="Verdana" w:hAnsi="Verdana"/>
          <w:sz w:val="20"/>
        </w:rPr>
        <w:t xml:space="preserve">t </w:t>
      </w:r>
      <w:r w:rsidR="00500F36">
        <w:rPr>
          <w:rFonts w:ascii="Verdana" w:hAnsi="Verdana"/>
          <w:sz w:val="20"/>
        </w:rPr>
        <w:t>sich d</w:t>
      </w:r>
      <w:r w:rsidR="00EE172E">
        <w:rPr>
          <w:rFonts w:ascii="Verdana" w:hAnsi="Verdana"/>
          <w:sz w:val="20"/>
        </w:rPr>
        <w:t>as</w:t>
      </w:r>
      <w:r w:rsidR="00500F36">
        <w:rPr>
          <w:rFonts w:ascii="Verdana" w:hAnsi="Verdana"/>
          <w:sz w:val="20"/>
        </w:rPr>
        <w:t xml:space="preserve"> europäische </w:t>
      </w:r>
      <w:r w:rsidR="00EE172E">
        <w:rPr>
          <w:rFonts w:ascii="Verdana" w:hAnsi="Verdana"/>
          <w:sz w:val="20"/>
        </w:rPr>
        <w:t>Elutionsverfahren</w:t>
      </w:r>
      <w:r w:rsidR="00500F36">
        <w:rPr>
          <w:rFonts w:ascii="Verdana" w:hAnsi="Verdana"/>
          <w:sz w:val="20"/>
        </w:rPr>
        <w:t xml:space="preserve"> </w:t>
      </w:r>
      <w:r w:rsidRPr="00351938">
        <w:rPr>
          <w:rFonts w:ascii="Verdana" w:hAnsi="Verdana"/>
          <w:sz w:val="20"/>
        </w:rPr>
        <w:t xml:space="preserve">gemäß DIN EN 16637-2 </w:t>
      </w:r>
      <w:r w:rsidR="00500F36">
        <w:rPr>
          <w:rFonts w:ascii="Verdana" w:hAnsi="Verdana"/>
          <w:sz w:val="20"/>
        </w:rPr>
        <w:t xml:space="preserve">unter </w:t>
      </w:r>
      <w:r w:rsidR="00344726">
        <w:rPr>
          <w:rFonts w:ascii="Verdana" w:hAnsi="Verdana"/>
          <w:sz w:val="20"/>
        </w:rPr>
        <w:t>An</w:t>
      </w:r>
      <w:r w:rsidR="00500F36">
        <w:rPr>
          <w:rFonts w:ascii="Verdana" w:hAnsi="Verdana"/>
          <w:sz w:val="20"/>
        </w:rPr>
        <w:t>wendung der in den A</w:t>
      </w:r>
      <w:r w:rsidR="00EE172E">
        <w:rPr>
          <w:rFonts w:ascii="Verdana" w:hAnsi="Verdana"/>
          <w:sz w:val="20"/>
        </w:rPr>
        <w:t>B</w:t>
      </w:r>
      <w:r w:rsidR="00500F36">
        <w:rPr>
          <w:rFonts w:ascii="Verdana" w:hAnsi="Verdana"/>
          <w:sz w:val="20"/>
        </w:rPr>
        <w:t xml:space="preserve">uG </w:t>
      </w:r>
      <w:r w:rsidR="009D5DA6">
        <w:rPr>
          <w:rFonts w:ascii="Verdana" w:hAnsi="Verdana"/>
          <w:sz w:val="20"/>
        </w:rPr>
        <w:t xml:space="preserve">festgelegten Grenzwerten </w:t>
      </w:r>
      <w:r w:rsidR="006D3475">
        <w:rPr>
          <w:rFonts w:ascii="Verdana" w:hAnsi="Verdana"/>
          <w:sz w:val="20"/>
        </w:rPr>
        <w:t>für diesen Test.</w:t>
      </w:r>
      <w:r w:rsidRPr="00351938">
        <w:rPr>
          <w:rFonts w:ascii="Verdana" w:hAnsi="Verdana"/>
          <w:sz w:val="20"/>
        </w:rPr>
        <w:t xml:space="preserve"> Die gegenwärtigen </w:t>
      </w:r>
      <w:r w:rsidR="00F32453">
        <w:rPr>
          <w:rFonts w:ascii="Verdana" w:hAnsi="Verdana"/>
          <w:sz w:val="20"/>
        </w:rPr>
        <w:t xml:space="preserve">Anforderungen an die Einsatzstoffe </w:t>
      </w:r>
      <w:r w:rsidR="008705A8">
        <w:rPr>
          <w:rFonts w:ascii="Verdana" w:hAnsi="Verdana"/>
          <w:sz w:val="20"/>
        </w:rPr>
        <w:t>müssen</w:t>
      </w:r>
      <w:r w:rsidR="008705A8" w:rsidRPr="00351938">
        <w:rPr>
          <w:rFonts w:ascii="Verdana" w:hAnsi="Verdana"/>
          <w:sz w:val="20"/>
        </w:rPr>
        <w:t xml:space="preserve"> </w:t>
      </w:r>
      <w:r w:rsidRPr="00351938">
        <w:rPr>
          <w:rFonts w:ascii="Verdana" w:hAnsi="Verdana"/>
          <w:sz w:val="20"/>
        </w:rPr>
        <w:t>gestrichen werden, da sie weder gerechtfertigt noch der Kreislaufwirtschaft zuträglich</w:t>
      </w:r>
      <w:r w:rsidR="00C32E57">
        <w:rPr>
          <w:rFonts w:ascii="Verdana" w:hAnsi="Verdana"/>
          <w:sz w:val="20"/>
        </w:rPr>
        <w:t xml:space="preserve"> sind</w:t>
      </w:r>
      <w:r w:rsidRPr="00351938">
        <w:rPr>
          <w:rFonts w:ascii="Verdana" w:hAnsi="Verdana"/>
          <w:sz w:val="20"/>
        </w:rPr>
        <w:t>.</w:t>
      </w:r>
    </w:p>
    <w:p w14:paraId="1ADB0D0B" w14:textId="77777777" w:rsidR="00351938" w:rsidRDefault="00351938" w:rsidP="000E2ADE">
      <w:pPr>
        <w:pStyle w:val="StandardWeb"/>
        <w:spacing w:line="360" w:lineRule="auto"/>
        <w:jc w:val="both"/>
        <w:rPr>
          <w:rFonts w:ascii="Verdana" w:hAnsi="Verdana"/>
          <w:sz w:val="20"/>
          <w:szCs w:val="20"/>
        </w:rPr>
      </w:pPr>
    </w:p>
    <w:p w14:paraId="13AD419C" w14:textId="77777777" w:rsidR="00F32453" w:rsidRDefault="00F32453" w:rsidP="000E2ADE">
      <w:pPr>
        <w:pStyle w:val="StandardWeb"/>
        <w:spacing w:line="360" w:lineRule="auto"/>
        <w:jc w:val="both"/>
        <w:rPr>
          <w:rFonts w:ascii="Verdana" w:hAnsi="Verdana"/>
          <w:sz w:val="20"/>
          <w:szCs w:val="20"/>
        </w:rPr>
      </w:pPr>
    </w:p>
    <w:p w14:paraId="2CB50148" w14:textId="77777777" w:rsidR="00F32453" w:rsidRDefault="00F32453" w:rsidP="000E2ADE">
      <w:pPr>
        <w:pStyle w:val="StandardWeb"/>
        <w:spacing w:line="360" w:lineRule="auto"/>
        <w:jc w:val="both"/>
        <w:rPr>
          <w:rFonts w:ascii="Verdana" w:hAnsi="Verdana"/>
          <w:sz w:val="20"/>
          <w:szCs w:val="20"/>
        </w:rPr>
      </w:pPr>
    </w:p>
    <w:p w14:paraId="6E8E570D" w14:textId="77777777" w:rsidR="00F32453" w:rsidRDefault="00F32453" w:rsidP="000E2ADE">
      <w:pPr>
        <w:pStyle w:val="StandardWeb"/>
        <w:spacing w:line="360" w:lineRule="auto"/>
        <w:jc w:val="both"/>
        <w:rPr>
          <w:rFonts w:ascii="Verdana" w:hAnsi="Verdana"/>
          <w:sz w:val="20"/>
          <w:szCs w:val="20"/>
        </w:rPr>
      </w:pPr>
    </w:p>
    <w:p w14:paraId="7020C18A" w14:textId="77777777" w:rsidR="00F32453" w:rsidRDefault="00F32453" w:rsidP="000E2ADE">
      <w:pPr>
        <w:pStyle w:val="StandardWeb"/>
        <w:spacing w:line="360" w:lineRule="auto"/>
        <w:jc w:val="both"/>
        <w:rPr>
          <w:rFonts w:ascii="Verdana" w:hAnsi="Verdana"/>
          <w:sz w:val="20"/>
          <w:szCs w:val="20"/>
        </w:rPr>
      </w:pPr>
    </w:p>
    <w:p w14:paraId="2939C3C9" w14:textId="77777777" w:rsidR="00F32453" w:rsidRDefault="00F32453" w:rsidP="000E2ADE">
      <w:pPr>
        <w:pStyle w:val="StandardWeb"/>
        <w:spacing w:line="360" w:lineRule="auto"/>
        <w:jc w:val="both"/>
        <w:rPr>
          <w:rFonts w:ascii="Verdana" w:hAnsi="Verdana"/>
          <w:sz w:val="20"/>
          <w:szCs w:val="20"/>
        </w:rPr>
      </w:pPr>
    </w:p>
    <w:p w14:paraId="5ADC9D3D" w14:textId="77777777" w:rsidR="00F32453" w:rsidRDefault="00F32453" w:rsidP="000E2ADE">
      <w:pPr>
        <w:pStyle w:val="StandardWeb"/>
        <w:spacing w:line="360" w:lineRule="auto"/>
        <w:jc w:val="both"/>
        <w:rPr>
          <w:rFonts w:ascii="Verdana" w:hAnsi="Verdana"/>
          <w:sz w:val="20"/>
          <w:szCs w:val="20"/>
        </w:rPr>
      </w:pPr>
    </w:p>
    <w:p w14:paraId="12E399E3" w14:textId="77777777" w:rsidR="00F32453" w:rsidRDefault="00F32453" w:rsidP="000E2ADE">
      <w:pPr>
        <w:pStyle w:val="StandardWeb"/>
        <w:spacing w:line="360" w:lineRule="auto"/>
        <w:jc w:val="both"/>
        <w:rPr>
          <w:rFonts w:ascii="Verdana" w:hAnsi="Verdana"/>
          <w:sz w:val="20"/>
          <w:szCs w:val="20"/>
        </w:rPr>
      </w:pPr>
    </w:p>
    <w:p w14:paraId="6E82A524" w14:textId="77777777" w:rsidR="00F32453" w:rsidRDefault="00F32453" w:rsidP="000E2ADE">
      <w:pPr>
        <w:pStyle w:val="StandardWeb"/>
        <w:spacing w:line="360" w:lineRule="auto"/>
        <w:jc w:val="both"/>
        <w:rPr>
          <w:rFonts w:ascii="Verdana" w:hAnsi="Verdana"/>
          <w:sz w:val="20"/>
          <w:szCs w:val="20"/>
        </w:rPr>
      </w:pPr>
    </w:p>
    <w:p w14:paraId="506DB642" w14:textId="549DD162" w:rsidR="00B247FA" w:rsidRPr="0058226D" w:rsidRDefault="0092555A" w:rsidP="00E55054">
      <w:pPr>
        <w:pStyle w:val="berschrift1"/>
        <w:ind w:left="0"/>
        <w:rPr>
          <w:sz w:val="24"/>
          <w:szCs w:val="24"/>
        </w:rPr>
      </w:pPr>
      <w:r w:rsidRPr="0058226D">
        <w:rPr>
          <w:sz w:val="24"/>
          <w:szCs w:val="24"/>
        </w:rPr>
        <w:lastRenderedPageBreak/>
        <w:t>Einleitung</w:t>
      </w:r>
    </w:p>
    <w:p w14:paraId="7D0F4DB1" w14:textId="29325217" w:rsidR="00334210" w:rsidRPr="00BE57B1" w:rsidRDefault="0017698D" w:rsidP="0017698D">
      <w:pPr>
        <w:spacing w:after="120"/>
        <w:rPr>
          <w:rFonts w:ascii="Verdana" w:hAnsi="Verdana"/>
          <w:sz w:val="20"/>
        </w:rPr>
      </w:pPr>
      <w:r w:rsidRPr="0017698D">
        <w:rPr>
          <w:rFonts w:ascii="Verdana" w:hAnsi="Verdana"/>
          <w:sz w:val="20"/>
        </w:rPr>
        <w:t xml:space="preserve">Die </w:t>
      </w:r>
      <w:r w:rsidRPr="00BE57B1">
        <w:rPr>
          <w:rFonts w:ascii="Verdana" w:hAnsi="Verdana"/>
          <w:sz w:val="20"/>
        </w:rPr>
        <w:t xml:space="preserve">Verwendung von Sekundärrohstoffen und industriellen Gesteinskörnungen im Bauwesen ist ein zentraler Baustein zur Erreichung der Ziele der Kreislaufwirtschaft und Ressourcenschonung. </w:t>
      </w:r>
      <w:r w:rsidR="00DC7B16" w:rsidRPr="00BE57B1">
        <w:rPr>
          <w:rFonts w:ascii="Verdana" w:hAnsi="Verdana"/>
          <w:sz w:val="20"/>
        </w:rPr>
        <w:t>Der gegenwärtige Regelungsrahmen, insbesondere im Hochbau</w:t>
      </w:r>
      <w:r w:rsidR="00334210" w:rsidRPr="00BE57B1">
        <w:rPr>
          <w:rFonts w:ascii="Verdana" w:hAnsi="Verdana"/>
          <w:sz w:val="20"/>
        </w:rPr>
        <w:t>, behinder</w:t>
      </w:r>
      <w:r w:rsidR="0053568E" w:rsidRPr="00BE57B1">
        <w:rPr>
          <w:rFonts w:ascii="Verdana" w:hAnsi="Verdana"/>
          <w:sz w:val="20"/>
        </w:rPr>
        <w:t>t</w:t>
      </w:r>
      <w:r w:rsidR="00334210" w:rsidRPr="00BE57B1">
        <w:rPr>
          <w:rFonts w:ascii="Verdana" w:hAnsi="Verdana"/>
          <w:sz w:val="20"/>
        </w:rPr>
        <w:t xml:space="preserve"> jedoch erheblich den Einsatz dieser Materialien und steh</w:t>
      </w:r>
      <w:r w:rsidR="00F25D93" w:rsidRPr="00BE57B1">
        <w:rPr>
          <w:rFonts w:ascii="Verdana" w:hAnsi="Verdana"/>
          <w:sz w:val="20"/>
        </w:rPr>
        <w:t>t</w:t>
      </w:r>
      <w:r w:rsidR="00334210" w:rsidRPr="00BE57B1">
        <w:rPr>
          <w:rFonts w:ascii="Verdana" w:hAnsi="Verdana"/>
          <w:sz w:val="20"/>
        </w:rPr>
        <w:t xml:space="preserve"> in direktem Widerspruch zu den Prinzipien einer effektiven Kreislaufwirtschaft.</w:t>
      </w:r>
    </w:p>
    <w:p w14:paraId="3BBF973B" w14:textId="3B64D5E1" w:rsidR="00E01FF5" w:rsidRPr="00BE57B1" w:rsidRDefault="00E01FF5" w:rsidP="0017698D">
      <w:pPr>
        <w:spacing w:after="120"/>
        <w:rPr>
          <w:rFonts w:ascii="Verdana" w:hAnsi="Verdana"/>
          <w:sz w:val="20"/>
        </w:rPr>
      </w:pPr>
      <w:r w:rsidRPr="00BE57B1">
        <w:rPr>
          <w:rFonts w:ascii="Verdana" w:hAnsi="Verdana"/>
          <w:sz w:val="20"/>
        </w:rPr>
        <w:t>Die Diskrepanz zwischen den Bewertungssystemen der Ersatzbaustoffverordnung (EBV)</w:t>
      </w:r>
      <w:r w:rsidR="0031744C" w:rsidRPr="00BE57B1">
        <w:rPr>
          <w:rFonts w:ascii="Verdana" w:hAnsi="Verdana"/>
          <w:sz w:val="20"/>
        </w:rPr>
        <w:t xml:space="preserve"> [</w:t>
      </w:r>
      <w:bookmarkStart w:id="0" w:name="_Ref176856588"/>
      <w:r w:rsidR="0031744C" w:rsidRPr="00BE57B1">
        <w:rPr>
          <w:rStyle w:val="Endnotenzeichen"/>
          <w:rFonts w:ascii="Verdana" w:hAnsi="Verdana"/>
          <w:sz w:val="20"/>
        </w:rPr>
        <w:endnoteReference w:id="2"/>
      </w:r>
      <w:bookmarkEnd w:id="0"/>
      <w:r w:rsidR="0031744C" w:rsidRPr="00BE57B1">
        <w:rPr>
          <w:rFonts w:ascii="Verdana" w:hAnsi="Verdana"/>
          <w:sz w:val="20"/>
        </w:rPr>
        <w:t>]</w:t>
      </w:r>
      <w:r w:rsidRPr="00BE57B1">
        <w:rPr>
          <w:rFonts w:ascii="Verdana" w:hAnsi="Verdana"/>
          <w:sz w:val="20"/>
        </w:rPr>
        <w:t>, die für den Verkehrswegebau gilt, und dem Anhang 10 der Muster-Verwaltungsvorschrift Technische Baubestimmungen (MVV TB) –</w:t>
      </w:r>
      <w:r w:rsidR="00921295" w:rsidRPr="00BE57B1">
        <w:rPr>
          <w:rFonts w:ascii="Verdana" w:hAnsi="Verdana"/>
          <w:sz w:val="20"/>
        </w:rPr>
        <w:t xml:space="preserve"> </w:t>
      </w:r>
      <w:r w:rsidRPr="00BE57B1">
        <w:rPr>
          <w:rFonts w:ascii="Verdana" w:hAnsi="Verdana"/>
          <w:sz w:val="20"/>
        </w:rPr>
        <w:t>den Anforderungen an bauliche Anlagen bezüglich der Auswirkungen auf Boden und Gewässer (ABuG)</w:t>
      </w:r>
      <w:r w:rsidR="0031744C" w:rsidRPr="00BE57B1">
        <w:rPr>
          <w:rFonts w:ascii="Verdana" w:hAnsi="Verdana"/>
          <w:sz w:val="20"/>
        </w:rPr>
        <w:t xml:space="preserve"> [</w:t>
      </w:r>
      <w:bookmarkStart w:id="1" w:name="_Ref176856617"/>
      <w:r w:rsidR="0031744C" w:rsidRPr="00BE57B1">
        <w:rPr>
          <w:rStyle w:val="Endnotenzeichen"/>
          <w:rFonts w:ascii="Verdana" w:hAnsi="Verdana"/>
          <w:sz w:val="20"/>
        </w:rPr>
        <w:endnoteReference w:id="3"/>
      </w:r>
      <w:bookmarkEnd w:id="1"/>
      <w:r w:rsidR="0031744C" w:rsidRPr="00BE57B1">
        <w:rPr>
          <w:rFonts w:ascii="Verdana" w:hAnsi="Verdana"/>
          <w:sz w:val="20"/>
        </w:rPr>
        <w:t>]</w:t>
      </w:r>
      <w:r w:rsidRPr="00BE57B1">
        <w:rPr>
          <w:rFonts w:ascii="Verdana" w:hAnsi="Verdana"/>
          <w:sz w:val="20"/>
        </w:rPr>
        <w:t xml:space="preserve"> – führt zu einer paradoxen Situation. Dasselbe Material darf im Verkehrswegebau, sowohl gebunden als auch ungebunden, verwendet werden, wird jedoch im Hochbau aufgrund der ABuG-Vorgaben als Bestandteil einer dichten Betonmatrix ausgeschlossen. Gleichzeitig ist der Einsatz solcher Materialien in Betonwaren erlaubt, da diese nicht den ABuG-Anforderungen unterliegen.</w:t>
      </w:r>
    </w:p>
    <w:p w14:paraId="32CBA80F" w14:textId="34880659" w:rsidR="007E69C2" w:rsidRPr="00BE57B1" w:rsidRDefault="00EC6F21" w:rsidP="0017698D">
      <w:pPr>
        <w:spacing w:after="120"/>
        <w:rPr>
          <w:rFonts w:ascii="Verdana" w:hAnsi="Verdana"/>
          <w:sz w:val="20"/>
        </w:rPr>
      </w:pPr>
      <w:r w:rsidRPr="00BE57B1">
        <w:rPr>
          <w:rFonts w:ascii="Verdana" w:hAnsi="Verdana"/>
          <w:sz w:val="20"/>
        </w:rPr>
        <w:t>Wir</w:t>
      </w:r>
      <w:r w:rsidR="001B39E1" w:rsidRPr="00BE57B1">
        <w:rPr>
          <w:rFonts w:ascii="Verdana" w:hAnsi="Verdana"/>
          <w:sz w:val="20"/>
        </w:rPr>
        <w:t xml:space="preserve"> </w:t>
      </w:r>
      <w:r w:rsidRPr="00BE57B1">
        <w:rPr>
          <w:rFonts w:ascii="Verdana" w:hAnsi="Verdana"/>
          <w:sz w:val="20"/>
        </w:rPr>
        <w:t xml:space="preserve">fordern </w:t>
      </w:r>
      <w:r w:rsidR="001B39E1" w:rsidRPr="00BE57B1">
        <w:rPr>
          <w:rFonts w:ascii="Verdana" w:hAnsi="Verdana"/>
          <w:sz w:val="20"/>
        </w:rPr>
        <w:t xml:space="preserve">daher </w:t>
      </w:r>
      <w:r w:rsidRPr="00BE57B1">
        <w:rPr>
          <w:rFonts w:ascii="Verdana" w:hAnsi="Verdana"/>
          <w:sz w:val="20"/>
        </w:rPr>
        <w:t xml:space="preserve">dringend </w:t>
      </w:r>
      <w:r w:rsidR="001B39E1" w:rsidRPr="00BE57B1">
        <w:rPr>
          <w:rFonts w:ascii="Verdana" w:hAnsi="Verdana"/>
          <w:sz w:val="20"/>
        </w:rPr>
        <w:t xml:space="preserve">eine Anpassung der bestehenden Regelungen, insbesondere der </w:t>
      </w:r>
      <w:r w:rsidRPr="00BE57B1">
        <w:rPr>
          <w:rFonts w:ascii="Verdana" w:hAnsi="Verdana"/>
          <w:sz w:val="20"/>
        </w:rPr>
        <w:t>ABuG</w:t>
      </w:r>
      <w:r w:rsidR="001B39E1" w:rsidRPr="00BE57B1">
        <w:rPr>
          <w:rFonts w:ascii="Verdana" w:hAnsi="Verdana"/>
          <w:sz w:val="20"/>
        </w:rPr>
        <w:t xml:space="preserve">, um die Verwendung von industriellen Gesteinskörnungen im Hochbau zu ermöglichen und damit die Ziele der Kreislaufwirtschaft zu fördern. </w:t>
      </w:r>
      <w:r w:rsidRPr="00BE57B1">
        <w:rPr>
          <w:rFonts w:ascii="Verdana" w:hAnsi="Verdana"/>
          <w:sz w:val="20"/>
        </w:rPr>
        <w:t xml:space="preserve">Im Folgenden </w:t>
      </w:r>
      <w:r w:rsidR="001B39E1" w:rsidRPr="00BE57B1">
        <w:rPr>
          <w:rFonts w:ascii="Verdana" w:hAnsi="Verdana"/>
          <w:sz w:val="20"/>
        </w:rPr>
        <w:t xml:space="preserve">werden </w:t>
      </w:r>
      <w:r w:rsidR="005359DD" w:rsidRPr="00BE57B1">
        <w:rPr>
          <w:rFonts w:ascii="Verdana" w:hAnsi="Verdana"/>
          <w:sz w:val="20"/>
        </w:rPr>
        <w:t xml:space="preserve">die wesentlichen Hintergründe zur derzeitigen Situation </w:t>
      </w:r>
      <w:r w:rsidRPr="00BE57B1">
        <w:rPr>
          <w:rFonts w:ascii="Verdana" w:hAnsi="Verdana"/>
          <w:sz w:val="20"/>
        </w:rPr>
        <w:t xml:space="preserve">erläutert </w:t>
      </w:r>
      <w:r w:rsidR="007E69C2" w:rsidRPr="00BE57B1">
        <w:rPr>
          <w:rFonts w:ascii="Verdana" w:hAnsi="Verdana"/>
          <w:sz w:val="20"/>
        </w:rPr>
        <w:t xml:space="preserve">und konkrete Handlungsempfehlungen für eine Regelungsänderung </w:t>
      </w:r>
      <w:r w:rsidRPr="00BE57B1">
        <w:rPr>
          <w:rFonts w:ascii="Verdana" w:hAnsi="Verdana"/>
          <w:sz w:val="20"/>
        </w:rPr>
        <w:t>formulieret</w:t>
      </w:r>
      <w:r w:rsidR="007E69C2" w:rsidRPr="00BE57B1">
        <w:rPr>
          <w:rFonts w:ascii="Verdana" w:hAnsi="Verdana"/>
          <w:sz w:val="20"/>
        </w:rPr>
        <w:t xml:space="preserve">. </w:t>
      </w:r>
    </w:p>
    <w:p w14:paraId="2B2F2C51" w14:textId="77777777" w:rsidR="005359DD" w:rsidRDefault="005359DD" w:rsidP="0017698D">
      <w:pPr>
        <w:spacing w:after="120"/>
        <w:rPr>
          <w:rFonts w:ascii="Verdana" w:hAnsi="Verdana"/>
          <w:sz w:val="20"/>
        </w:rPr>
      </w:pPr>
    </w:p>
    <w:p w14:paraId="35E2D289" w14:textId="037504A7" w:rsidR="005359DD" w:rsidRPr="0058226D" w:rsidRDefault="00A1053B" w:rsidP="0002090F">
      <w:pPr>
        <w:pStyle w:val="berschrift1"/>
        <w:ind w:left="0"/>
        <w:rPr>
          <w:sz w:val="24"/>
          <w:szCs w:val="24"/>
        </w:rPr>
      </w:pPr>
      <w:r w:rsidRPr="0058226D">
        <w:rPr>
          <w:sz w:val="24"/>
          <w:szCs w:val="24"/>
        </w:rPr>
        <w:t xml:space="preserve">Status Quo und bestehende Regelungen </w:t>
      </w:r>
    </w:p>
    <w:p w14:paraId="2C56BB33" w14:textId="71391067" w:rsidR="00474787" w:rsidRDefault="00FB279B" w:rsidP="00025945">
      <w:pPr>
        <w:keepNext/>
        <w:widowControl w:val="0"/>
        <w:spacing w:after="120"/>
        <w:outlineLvl w:val="0"/>
        <w:rPr>
          <w:rFonts w:ascii="Verdana" w:hAnsi="Verdana"/>
          <w:sz w:val="20"/>
        </w:rPr>
      </w:pPr>
      <w:r w:rsidRPr="00474787">
        <w:rPr>
          <w:rFonts w:ascii="Verdana" w:hAnsi="Verdana"/>
          <w:sz w:val="20"/>
        </w:rPr>
        <w:t xml:space="preserve">Im Straßen-, Wege- und Wasserbau ist der Einsatz von vielen Sekundärrohstoffen seit langem etabliert. Die Umweltverträglichkeit dieser Materialien wird dabei anhand ihres </w:t>
      </w:r>
      <w:r w:rsidR="009E0704">
        <w:rPr>
          <w:rFonts w:ascii="Verdana" w:hAnsi="Verdana"/>
          <w:sz w:val="20"/>
        </w:rPr>
        <w:t>Elutions</w:t>
      </w:r>
      <w:r w:rsidRPr="00474787">
        <w:rPr>
          <w:rFonts w:ascii="Verdana" w:hAnsi="Verdana"/>
          <w:sz w:val="20"/>
        </w:rPr>
        <w:t>verhaltens in der verwendeten</w:t>
      </w:r>
      <w:r>
        <w:t xml:space="preserve"> </w:t>
      </w:r>
      <w:r w:rsidR="009E0704" w:rsidRPr="009E0704">
        <w:rPr>
          <w:rFonts w:ascii="Verdana" w:hAnsi="Verdana"/>
          <w:sz w:val="20"/>
        </w:rPr>
        <w:t>Form</w:t>
      </w:r>
      <w:r w:rsidR="00D07BC7">
        <w:rPr>
          <w:rFonts w:ascii="Verdana" w:hAnsi="Verdana"/>
          <w:sz w:val="20"/>
        </w:rPr>
        <w:t xml:space="preserve"> untersucht</w:t>
      </w:r>
      <w:r w:rsidR="009E0704" w:rsidRPr="009E0704">
        <w:rPr>
          <w:rFonts w:ascii="Verdana" w:hAnsi="Verdana"/>
          <w:sz w:val="20"/>
        </w:rPr>
        <w:t xml:space="preserve"> </w:t>
      </w:r>
      <w:r w:rsidR="00025945" w:rsidRPr="00025945">
        <w:rPr>
          <w:rFonts w:ascii="Verdana" w:hAnsi="Verdana"/>
          <w:sz w:val="20"/>
        </w:rPr>
        <w:t>(seit dem 1. August 2023 gemäß EBV [</w:t>
      </w:r>
      <w:r w:rsidR="00F26104">
        <w:rPr>
          <w:rFonts w:ascii="Verdana" w:hAnsi="Verdana"/>
          <w:sz w:val="20"/>
        </w:rPr>
        <w:fldChar w:fldCharType="begin"/>
      </w:r>
      <w:r w:rsidR="00F26104">
        <w:rPr>
          <w:rFonts w:ascii="Verdana" w:hAnsi="Verdana"/>
          <w:sz w:val="20"/>
        </w:rPr>
        <w:instrText xml:space="preserve"> NOTEREF _Ref176856588 \h </w:instrText>
      </w:r>
      <w:r w:rsidR="00F26104">
        <w:rPr>
          <w:rFonts w:ascii="Verdana" w:hAnsi="Verdana"/>
          <w:sz w:val="20"/>
        </w:rPr>
      </w:r>
      <w:r w:rsidR="00F26104">
        <w:rPr>
          <w:rFonts w:ascii="Verdana" w:hAnsi="Verdana"/>
          <w:sz w:val="20"/>
        </w:rPr>
        <w:fldChar w:fldCharType="separate"/>
      </w:r>
      <w:r w:rsidR="00B67562">
        <w:rPr>
          <w:rFonts w:ascii="Verdana" w:hAnsi="Verdana"/>
          <w:sz w:val="20"/>
        </w:rPr>
        <w:t>1</w:t>
      </w:r>
      <w:r w:rsidR="00F26104">
        <w:rPr>
          <w:rFonts w:ascii="Verdana" w:hAnsi="Verdana"/>
          <w:sz w:val="20"/>
        </w:rPr>
        <w:fldChar w:fldCharType="end"/>
      </w:r>
      <w:r w:rsidR="00025945" w:rsidRPr="00025945">
        <w:rPr>
          <w:rFonts w:ascii="Verdana" w:hAnsi="Verdana"/>
          <w:sz w:val="20"/>
        </w:rPr>
        <w:t>], zuvor meist gemäß Mitteilung 20 der LAGA [</w:t>
      </w:r>
      <w:r w:rsidR="0047443A">
        <w:rPr>
          <w:rStyle w:val="Endnotenzeichen"/>
        </w:rPr>
        <w:endnoteReference w:id="4"/>
      </w:r>
      <w:r w:rsidR="00025945" w:rsidRPr="00025945">
        <w:rPr>
          <w:rFonts w:ascii="Verdana" w:hAnsi="Verdana"/>
          <w:sz w:val="20"/>
        </w:rPr>
        <w:t>])</w:t>
      </w:r>
      <w:r w:rsidR="00CE0A5A">
        <w:rPr>
          <w:rFonts w:ascii="Verdana" w:hAnsi="Verdana"/>
          <w:sz w:val="20"/>
        </w:rPr>
        <w:t>.</w:t>
      </w:r>
      <w:r w:rsidR="00025945" w:rsidRPr="00025945">
        <w:rPr>
          <w:rFonts w:ascii="Verdana" w:hAnsi="Verdana"/>
          <w:sz w:val="20"/>
        </w:rPr>
        <w:t xml:space="preserve"> </w:t>
      </w:r>
      <w:r w:rsidR="00C15B5B">
        <w:rPr>
          <w:rFonts w:ascii="Verdana" w:hAnsi="Verdana"/>
          <w:sz w:val="20"/>
        </w:rPr>
        <w:t xml:space="preserve">Sowohl </w:t>
      </w:r>
      <w:r w:rsidR="00404697">
        <w:rPr>
          <w:rFonts w:ascii="Verdana" w:hAnsi="Verdana"/>
          <w:sz w:val="20"/>
        </w:rPr>
        <w:t>das</w:t>
      </w:r>
      <w:r w:rsidR="00FA2FD8">
        <w:rPr>
          <w:rFonts w:ascii="Verdana" w:hAnsi="Verdana"/>
          <w:sz w:val="20"/>
        </w:rPr>
        <w:t xml:space="preserve"> LAGA</w:t>
      </w:r>
      <w:r w:rsidR="00404697">
        <w:rPr>
          <w:rFonts w:ascii="Verdana" w:hAnsi="Verdana"/>
          <w:sz w:val="20"/>
        </w:rPr>
        <w:t xml:space="preserve">-Regelwerk </w:t>
      </w:r>
      <w:r w:rsidR="002E3481">
        <w:rPr>
          <w:rFonts w:ascii="Verdana" w:hAnsi="Verdana"/>
          <w:sz w:val="20"/>
        </w:rPr>
        <w:t xml:space="preserve">als auch die EBV </w:t>
      </w:r>
      <w:r w:rsidR="00910C32">
        <w:rPr>
          <w:rFonts w:ascii="Verdana" w:hAnsi="Verdana"/>
          <w:sz w:val="20"/>
        </w:rPr>
        <w:t xml:space="preserve">sind so </w:t>
      </w:r>
      <w:r w:rsidR="005B6466">
        <w:rPr>
          <w:rFonts w:ascii="Verdana" w:hAnsi="Verdana"/>
          <w:sz w:val="20"/>
        </w:rPr>
        <w:t>konzipiert</w:t>
      </w:r>
      <w:r w:rsidR="00910C32">
        <w:rPr>
          <w:rFonts w:ascii="Verdana" w:hAnsi="Verdana"/>
          <w:sz w:val="20"/>
        </w:rPr>
        <w:t xml:space="preserve">, dass unter Berücksichtigung </w:t>
      </w:r>
      <w:r w:rsidR="002E3481">
        <w:rPr>
          <w:rFonts w:ascii="Verdana" w:hAnsi="Verdana"/>
          <w:sz w:val="20"/>
        </w:rPr>
        <w:t xml:space="preserve">der jeweiligen Einbaubedingungen </w:t>
      </w:r>
      <w:r w:rsidR="005B6466">
        <w:rPr>
          <w:rFonts w:ascii="Verdana" w:hAnsi="Verdana"/>
          <w:sz w:val="20"/>
        </w:rPr>
        <w:t>eine schadlose Verwendung des Materials gewährleistet ist</w:t>
      </w:r>
      <w:r w:rsidR="00732A9D">
        <w:rPr>
          <w:rFonts w:ascii="Verdana" w:hAnsi="Verdana"/>
          <w:sz w:val="20"/>
        </w:rPr>
        <w:t xml:space="preserve">. </w:t>
      </w:r>
      <w:r w:rsidR="00474787" w:rsidRPr="00474787">
        <w:rPr>
          <w:rFonts w:ascii="Verdana" w:hAnsi="Verdana"/>
          <w:sz w:val="20"/>
        </w:rPr>
        <w:t>Die festgelegten Grenzwerte schränken bestimmte Bauweisen ein</w:t>
      </w:r>
      <w:r w:rsidR="00637BBC">
        <w:rPr>
          <w:rFonts w:ascii="Verdana" w:hAnsi="Verdana"/>
          <w:sz w:val="20"/>
        </w:rPr>
        <w:t xml:space="preserve"> und</w:t>
      </w:r>
      <w:r w:rsidR="00474787" w:rsidRPr="00474787">
        <w:rPr>
          <w:rFonts w:ascii="Verdana" w:hAnsi="Verdana"/>
          <w:sz w:val="20"/>
        </w:rPr>
        <w:t xml:space="preserve"> sorgen </w:t>
      </w:r>
      <w:r w:rsidR="000C4C54">
        <w:rPr>
          <w:rFonts w:ascii="Verdana" w:hAnsi="Verdana"/>
          <w:sz w:val="20"/>
        </w:rPr>
        <w:t>g</w:t>
      </w:r>
      <w:r w:rsidR="00B67562">
        <w:rPr>
          <w:rFonts w:ascii="Verdana" w:hAnsi="Verdana"/>
          <w:sz w:val="20"/>
        </w:rPr>
        <w:t>l</w:t>
      </w:r>
      <w:r w:rsidR="000C4C54">
        <w:rPr>
          <w:rFonts w:ascii="Verdana" w:hAnsi="Verdana"/>
          <w:sz w:val="20"/>
        </w:rPr>
        <w:t>eichzeitig</w:t>
      </w:r>
      <w:r w:rsidR="00637BBC">
        <w:rPr>
          <w:rFonts w:ascii="Verdana" w:hAnsi="Verdana"/>
          <w:sz w:val="20"/>
        </w:rPr>
        <w:t xml:space="preserve"> </w:t>
      </w:r>
      <w:r w:rsidR="00474787" w:rsidRPr="00474787">
        <w:rPr>
          <w:rFonts w:ascii="Verdana" w:hAnsi="Verdana"/>
          <w:sz w:val="20"/>
        </w:rPr>
        <w:t>für einen sicheren Schutz von Boden und Grundwasser.</w:t>
      </w:r>
    </w:p>
    <w:p w14:paraId="48C8CEC7" w14:textId="0AE0D951" w:rsidR="004B5444" w:rsidRDefault="00025945" w:rsidP="008247DA">
      <w:pPr>
        <w:keepNext/>
        <w:widowControl w:val="0"/>
        <w:spacing w:after="120"/>
        <w:outlineLvl w:val="0"/>
        <w:rPr>
          <w:rFonts w:ascii="Verdana" w:hAnsi="Verdana"/>
          <w:sz w:val="20"/>
        </w:rPr>
      </w:pPr>
      <w:r w:rsidRPr="00025945">
        <w:rPr>
          <w:rFonts w:ascii="Verdana" w:hAnsi="Verdana"/>
          <w:sz w:val="20"/>
        </w:rPr>
        <w:t xml:space="preserve">Im Bereich des Hochbaus </w:t>
      </w:r>
      <w:r w:rsidR="009D473C">
        <w:rPr>
          <w:rFonts w:ascii="Verdana" w:hAnsi="Verdana"/>
          <w:sz w:val="20"/>
        </w:rPr>
        <w:t xml:space="preserve">hingegen </w:t>
      </w:r>
      <w:r w:rsidRPr="00025945">
        <w:rPr>
          <w:rFonts w:ascii="Verdana" w:hAnsi="Verdana"/>
          <w:sz w:val="20"/>
        </w:rPr>
        <w:t xml:space="preserve">werden </w:t>
      </w:r>
      <w:r w:rsidR="00D67EF1" w:rsidRPr="00025945">
        <w:rPr>
          <w:rFonts w:ascii="Verdana" w:hAnsi="Verdana"/>
          <w:sz w:val="20"/>
        </w:rPr>
        <w:t xml:space="preserve">für die Verwendung </w:t>
      </w:r>
      <w:r w:rsidR="00D67EF1">
        <w:rPr>
          <w:rFonts w:ascii="Verdana" w:hAnsi="Verdana"/>
          <w:sz w:val="20"/>
        </w:rPr>
        <w:t xml:space="preserve">der Sekundärrohstoffe </w:t>
      </w:r>
      <w:r w:rsidR="00D67EF1" w:rsidRPr="00025945">
        <w:rPr>
          <w:rFonts w:ascii="Verdana" w:hAnsi="Verdana"/>
          <w:sz w:val="20"/>
        </w:rPr>
        <w:t xml:space="preserve">als Gesteinskörnung in Beton gemäß ABuG </w:t>
      </w:r>
      <w:r w:rsidR="000C62D6">
        <w:rPr>
          <w:rFonts w:ascii="Verdana" w:hAnsi="Verdana"/>
          <w:sz w:val="20"/>
        </w:rPr>
        <w:t>[</w:t>
      </w:r>
      <w:r w:rsidR="000C62D6">
        <w:rPr>
          <w:rFonts w:ascii="Verdana" w:hAnsi="Verdana"/>
          <w:sz w:val="20"/>
        </w:rPr>
        <w:fldChar w:fldCharType="begin"/>
      </w:r>
      <w:r w:rsidR="000C62D6">
        <w:rPr>
          <w:rFonts w:ascii="Verdana" w:hAnsi="Verdana"/>
          <w:sz w:val="20"/>
        </w:rPr>
        <w:instrText xml:space="preserve"> NOTEREF _Ref176856617 \h </w:instrText>
      </w:r>
      <w:r w:rsidR="000C62D6">
        <w:rPr>
          <w:rFonts w:ascii="Verdana" w:hAnsi="Verdana"/>
          <w:sz w:val="20"/>
        </w:rPr>
      </w:r>
      <w:r w:rsidR="000C62D6">
        <w:rPr>
          <w:rFonts w:ascii="Verdana" w:hAnsi="Verdana"/>
          <w:sz w:val="20"/>
        </w:rPr>
        <w:fldChar w:fldCharType="separate"/>
      </w:r>
      <w:r w:rsidR="00B67562">
        <w:rPr>
          <w:rFonts w:ascii="Verdana" w:hAnsi="Verdana"/>
          <w:sz w:val="20"/>
        </w:rPr>
        <w:t>2</w:t>
      </w:r>
      <w:r w:rsidR="000C62D6">
        <w:rPr>
          <w:rFonts w:ascii="Verdana" w:hAnsi="Verdana"/>
          <w:sz w:val="20"/>
        </w:rPr>
        <w:fldChar w:fldCharType="end"/>
      </w:r>
      <w:r w:rsidR="000C62D6">
        <w:rPr>
          <w:rFonts w:ascii="Verdana" w:hAnsi="Verdana"/>
          <w:sz w:val="20"/>
        </w:rPr>
        <w:t>]</w:t>
      </w:r>
      <w:r w:rsidR="00D67EF1" w:rsidRPr="00025945">
        <w:rPr>
          <w:rFonts w:ascii="Verdana" w:hAnsi="Verdana"/>
          <w:sz w:val="20"/>
        </w:rPr>
        <w:t xml:space="preserve"> </w:t>
      </w:r>
      <w:r w:rsidR="007F30A5">
        <w:rPr>
          <w:rFonts w:ascii="Verdana" w:hAnsi="Verdana"/>
          <w:sz w:val="20"/>
        </w:rPr>
        <w:t xml:space="preserve">neben </w:t>
      </w:r>
      <w:r w:rsidR="004B5444" w:rsidRPr="004B5444">
        <w:rPr>
          <w:rFonts w:ascii="Verdana" w:hAnsi="Verdana"/>
          <w:sz w:val="20"/>
        </w:rPr>
        <w:t xml:space="preserve">den Eluatgrenzwerten für das Bauprodukt Beton auch zusätzliche Anforderungen an die Einsatzstoffe gestellt, die sowohl Eluat- als auch </w:t>
      </w:r>
      <w:r w:rsidR="004B5444" w:rsidRPr="004B5444">
        <w:rPr>
          <w:rFonts w:ascii="Verdana" w:hAnsi="Verdana"/>
          <w:sz w:val="20"/>
        </w:rPr>
        <w:lastRenderedPageBreak/>
        <w:t>Feststoffgrenzwerte umfassen.</w:t>
      </w:r>
      <w:r w:rsidR="00283A8A" w:rsidRPr="00283A8A">
        <w:t xml:space="preserve"> </w:t>
      </w:r>
      <w:r w:rsidR="00283A8A" w:rsidRPr="00283A8A">
        <w:rPr>
          <w:rFonts w:ascii="Verdana" w:hAnsi="Verdana"/>
          <w:sz w:val="20"/>
        </w:rPr>
        <w:t xml:space="preserve">Zudem kommen in </w:t>
      </w:r>
      <w:r w:rsidR="00B67562" w:rsidRPr="00283A8A">
        <w:rPr>
          <w:rFonts w:ascii="Verdana" w:hAnsi="Verdana"/>
          <w:sz w:val="20"/>
        </w:rPr>
        <w:t>de</w:t>
      </w:r>
      <w:r w:rsidR="00B67562">
        <w:rPr>
          <w:rFonts w:ascii="Verdana" w:hAnsi="Verdana"/>
          <w:sz w:val="20"/>
        </w:rPr>
        <w:t>n</w:t>
      </w:r>
      <w:r w:rsidR="00B67562" w:rsidRPr="00283A8A">
        <w:rPr>
          <w:rFonts w:ascii="Verdana" w:hAnsi="Verdana"/>
          <w:sz w:val="20"/>
        </w:rPr>
        <w:t xml:space="preserve"> </w:t>
      </w:r>
      <w:r w:rsidR="00283A8A" w:rsidRPr="00283A8A">
        <w:rPr>
          <w:rFonts w:ascii="Verdana" w:hAnsi="Verdana"/>
          <w:sz w:val="20"/>
        </w:rPr>
        <w:t xml:space="preserve">ABuG abweichende Elutionsverfahren zum Einsatz, was zu einer Diskrepanz zur EBV </w:t>
      </w:r>
      <w:r w:rsidR="00A30BD6" w:rsidRPr="00283A8A">
        <w:rPr>
          <w:rFonts w:ascii="Verdana" w:hAnsi="Verdana"/>
          <w:sz w:val="20"/>
        </w:rPr>
        <w:t>führt</w:t>
      </w:r>
      <w:r w:rsidR="00283A8A" w:rsidRPr="00283A8A">
        <w:rPr>
          <w:rFonts w:ascii="Verdana" w:hAnsi="Verdana"/>
          <w:sz w:val="20"/>
        </w:rPr>
        <w:t xml:space="preserve"> und die Vergleichbarkeit der Ergebnisse erschwert</w:t>
      </w:r>
      <w:r w:rsidR="00A30BD6">
        <w:rPr>
          <w:rFonts w:ascii="Verdana" w:hAnsi="Verdana"/>
          <w:sz w:val="20"/>
        </w:rPr>
        <w:t xml:space="preserve">. </w:t>
      </w:r>
      <w:r w:rsidR="00EC6F21">
        <w:rPr>
          <w:rFonts w:ascii="Verdana" w:hAnsi="Verdana"/>
          <w:sz w:val="20"/>
        </w:rPr>
        <w:t xml:space="preserve">Materialien, von denen nicht vorab bekannt ist, wo sie später eingesetzt werden, müssen mit zwei </w:t>
      </w:r>
      <w:r w:rsidR="00A30BD6">
        <w:rPr>
          <w:rFonts w:ascii="Verdana" w:hAnsi="Verdana"/>
          <w:sz w:val="20"/>
        </w:rPr>
        <w:t xml:space="preserve">verschiedenen </w:t>
      </w:r>
      <w:r w:rsidR="00EC6F21">
        <w:rPr>
          <w:rFonts w:ascii="Verdana" w:hAnsi="Verdana"/>
          <w:sz w:val="20"/>
        </w:rPr>
        <w:t>Verfahren untersucht werden.</w:t>
      </w:r>
    </w:p>
    <w:p w14:paraId="343834E6" w14:textId="655C007B" w:rsidR="00DD71D4" w:rsidRDefault="005F5EB4" w:rsidP="008247DA">
      <w:pPr>
        <w:keepNext/>
        <w:widowControl w:val="0"/>
        <w:spacing w:after="120"/>
        <w:outlineLvl w:val="0"/>
        <w:rPr>
          <w:rFonts w:ascii="Verdana" w:hAnsi="Verdana"/>
          <w:sz w:val="20"/>
        </w:rPr>
      </w:pPr>
      <w:r w:rsidRPr="005F5EB4">
        <w:rPr>
          <w:rFonts w:ascii="Verdana" w:hAnsi="Verdana"/>
          <w:sz w:val="20"/>
        </w:rPr>
        <w:t xml:space="preserve">Die Eluat- und Feststoffgrenzwerte für die Einsatzmaterialien </w:t>
      </w:r>
      <w:r w:rsidR="00B67562">
        <w:rPr>
          <w:rFonts w:ascii="Verdana" w:hAnsi="Verdana"/>
          <w:sz w:val="20"/>
        </w:rPr>
        <w:t xml:space="preserve">in den ABuG </w:t>
      </w:r>
      <w:r w:rsidRPr="005F5EB4">
        <w:rPr>
          <w:rFonts w:ascii="Verdana" w:hAnsi="Verdana"/>
          <w:sz w:val="20"/>
        </w:rPr>
        <w:t xml:space="preserve">basieren auf den bestehenden Festlegungen der LAGA </w:t>
      </w:r>
      <w:r w:rsidR="009C4408" w:rsidRPr="009C4408">
        <w:rPr>
          <w:rFonts w:ascii="Verdana" w:hAnsi="Verdana"/>
          <w:sz w:val="20"/>
        </w:rPr>
        <w:t>(s. Tabelle 3 des Anhangs 1 der Eckpunkte (EP) der LAGA für eine "Verordnung über die Verwertung von mineralischen Abfällen in technischen Bauwerken", Stand 31.08.2004) und entsprechen den Zuordnungswerten Z 2 aus den "Technischen Regeln für die Verwertung von Bodenmaterial - TR Boden" [</w:t>
      </w:r>
      <w:r w:rsidR="009C4408" w:rsidRPr="009C4408">
        <w:rPr>
          <w:rFonts w:ascii="Verdana" w:hAnsi="Verdana"/>
          <w:sz w:val="20"/>
        </w:rPr>
        <w:endnoteReference w:id="5"/>
      </w:r>
      <w:r w:rsidR="009C4408" w:rsidRPr="009C4408">
        <w:rPr>
          <w:rFonts w:ascii="Verdana" w:hAnsi="Verdana"/>
          <w:sz w:val="20"/>
        </w:rPr>
        <w:t xml:space="preserve">] für einen eingeschränkten Einbau mit definierten technischen Sicherungsmaßnahmen. </w:t>
      </w:r>
    </w:p>
    <w:p w14:paraId="18DDCC90" w14:textId="5582D5C9" w:rsidR="00066082" w:rsidRDefault="005F5EB4" w:rsidP="008247DA">
      <w:pPr>
        <w:keepNext/>
        <w:widowControl w:val="0"/>
        <w:spacing w:after="120"/>
        <w:outlineLvl w:val="0"/>
        <w:rPr>
          <w:rFonts w:ascii="Verdana" w:hAnsi="Verdana"/>
          <w:sz w:val="20"/>
        </w:rPr>
      </w:pPr>
      <w:r w:rsidRPr="005F5EB4">
        <w:rPr>
          <w:rFonts w:ascii="Verdana" w:hAnsi="Verdana"/>
          <w:sz w:val="20"/>
        </w:rPr>
        <w:t xml:space="preserve">Aus fachlicher Sicht sind diese Grenzwerte jedoch überholt. </w:t>
      </w:r>
      <w:r w:rsidR="006E03D3">
        <w:rPr>
          <w:rFonts w:ascii="Verdana" w:hAnsi="Verdana"/>
          <w:sz w:val="20"/>
        </w:rPr>
        <w:t>Insbesondere die</w:t>
      </w:r>
      <w:r w:rsidR="00B623E2">
        <w:rPr>
          <w:rFonts w:ascii="Verdana" w:hAnsi="Verdana"/>
          <w:sz w:val="20"/>
        </w:rPr>
        <w:t xml:space="preserve"> festgelegten</w:t>
      </w:r>
      <w:r w:rsidR="006E03D3">
        <w:rPr>
          <w:rFonts w:ascii="Verdana" w:hAnsi="Verdana"/>
          <w:sz w:val="20"/>
        </w:rPr>
        <w:t xml:space="preserve"> F</w:t>
      </w:r>
      <w:r w:rsidR="00066082" w:rsidRPr="00066082">
        <w:rPr>
          <w:rFonts w:ascii="Verdana" w:hAnsi="Verdana"/>
          <w:sz w:val="20"/>
        </w:rPr>
        <w:t xml:space="preserve">eststoffgrenzwerte für industrielle Gesteinskörnungen sind nicht nachvollziehbar, da diese Materialien weder bodenähnlich sind noch in entsprechenden bodenähnlichen Anwendungen eingesetzt werden sollen. </w:t>
      </w:r>
      <w:r w:rsidR="001D1619" w:rsidRPr="005F5EB4">
        <w:rPr>
          <w:rFonts w:ascii="Verdana" w:hAnsi="Verdana"/>
          <w:sz w:val="20"/>
        </w:rPr>
        <w:t xml:space="preserve">Die </w:t>
      </w:r>
      <w:r w:rsidR="00B53F04">
        <w:rPr>
          <w:rFonts w:ascii="Verdana" w:hAnsi="Verdana"/>
          <w:sz w:val="20"/>
        </w:rPr>
        <w:t xml:space="preserve">rein eluatbasierte </w:t>
      </w:r>
      <w:r w:rsidR="001D1619" w:rsidRPr="005F5EB4">
        <w:rPr>
          <w:rFonts w:ascii="Verdana" w:hAnsi="Verdana"/>
          <w:sz w:val="20"/>
        </w:rPr>
        <w:t>Bewertungssystematik der EBV basiert auf umfassenden wissenschaftlichen Studien</w:t>
      </w:r>
      <w:r w:rsidR="001D1619">
        <w:rPr>
          <w:rFonts w:ascii="Verdana" w:hAnsi="Verdana"/>
          <w:sz w:val="20"/>
        </w:rPr>
        <w:t xml:space="preserve"> und </w:t>
      </w:r>
      <w:r w:rsidR="001D1619" w:rsidRPr="005F5EB4">
        <w:rPr>
          <w:rFonts w:ascii="Verdana" w:hAnsi="Verdana"/>
          <w:sz w:val="20"/>
        </w:rPr>
        <w:t xml:space="preserve">spiegelt den aktuellen Stand der Technik </w:t>
      </w:r>
      <w:r w:rsidR="001D1619">
        <w:rPr>
          <w:rFonts w:ascii="Verdana" w:hAnsi="Verdana"/>
          <w:sz w:val="20"/>
        </w:rPr>
        <w:t xml:space="preserve">deutlich </w:t>
      </w:r>
      <w:r w:rsidR="001D1619" w:rsidRPr="005F5EB4">
        <w:rPr>
          <w:rFonts w:ascii="Verdana" w:hAnsi="Verdana"/>
          <w:sz w:val="20"/>
        </w:rPr>
        <w:t>besser wider</w:t>
      </w:r>
      <w:r w:rsidR="001D1619">
        <w:rPr>
          <w:rFonts w:ascii="Verdana" w:hAnsi="Verdana"/>
          <w:sz w:val="20"/>
        </w:rPr>
        <w:t>.</w:t>
      </w:r>
    </w:p>
    <w:p w14:paraId="1ADF2A7D" w14:textId="24FEACE4" w:rsidR="0037207C" w:rsidRDefault="00EB0B74" w:rsidP="008247DA">
      <w:pPr>
        <w:keepNext/>
        <w:widowControl w:val="0"/>
        <w:spacing w:after="120"/>
        <w:outlineLvl w:val="0"/>
      </w:pPr>
      <w:r>
        <w:rPr>
          <w:rFonts w:ascii="Verdana" w:hAnsi="Verdana"/>
          <w:sz w:val="20"/>
        </w:rPr>
        <w:t xml:space="preserve">Da viele </w:t>
      </w:r>
      <w:r w:rsidR="00E9753E">
        <w:rPr>
          <w:rFonts w:ascii="Verdana" w:hAnsi="Verdana"/>
          <w:sz w:val="20"/>
        </w:rPr>
        <w:t>Sekundärrohstoffe</w:t>
      </w:r>
      <w:r w:rsidR="00EA6609">
        <w:rPr>
          <w:rFonts w:ascii="Verdana" w:hAnsi="Verdana"/>
          <w:sz w:val="20"/>
        </w:rPr>
        <w:t xml:space="preserve">, auch </w:t>
      </w:r>
      <w:r w:rsidR="000177BC">
        <w:rPr>
          <w:rFonts w:ascii="Verdana" w:hAnsi="Verdana"/>
          <w:sz w:val="20"/>
        </w:rPr>
        <w:t>solche</w:t>
      </w:r>
      <w:r w:rsidR="00EA6609">
        <w:rPr>
          <w:rFonts w:ascii="Verdana" w:hAnsi="Verdana"/>
          <w:sz w:val="20"/>
        </w:rPr>
        <w:t xml:space="preserve">, die gemäß EBV </w:t>
      </w:r>
      <w:r w:rsidR="00F94181">
        <w:rPr>
          <w:rFonts w:ascii="Verdana" w:hAnsi="Verdana"/>
          <w:sz w:val="20"/>
        </w:rPr>
        <w:t xml:space="preserve">problemlos und sicher </w:t>
      </w:r>
      <w:r w:rsidR="00EA6609">
        <w:rPr>
          <w:rFonts w:ascii="Verdana" w:hAnsi="Verdana"/>
          <w:sz w:val="20"/>
        </w:rPr>
        <w:t>verwendet werden dürfen</w:t>
      </w:r>
      <w:r w:rsidR="000177BC">
        <w:rPr>
          <w:rFonts w:ascii="Verdana" w:hAnsi="Verdana"/>
          <w:sz w:val="20"/>
        </w:rPr>
        <w:t xml:space="preserve">, </w:t>
      </w:r>
      <w:r w:rsidR="001D377D">
        <w:rPr>
          <w:rFonts w:ascii="Verdana" w:hAnsi="Verdana"/>
          <w:sz w:val="20"/>
        </w:rPr>
        <w:t>die</w:t>
      </w:r>
      <w:r w:rsidR="000177BC">
        <w:rPr>
          <w:rFonts w:ascii="Verdana" w:hAnsi="Verdana"/>
          <w:sz w:val="20"/>
        </w:rPr>
        <w:t xml:space="preserve"> Feststoffgrenzwerte </w:t>
      </w:r>
      <w:r w:rsidR="001D377D">
        <w:rPr>
          <w:rFonts w:ascii="Verdana" w:hAnsi="Verdana"/>
          <w:sz w:val="20"/>
        </w:rPr>
        <w:t>überschreiten</w:t>
      </w:r>
      <w:r w:rsidR="000177BC">
        <w:rPr>
          <w:rFonts w:ascii="Verdana" w:hAnsi="Verdana"/>
          <w:sz w:val="20"/>
        </w:rPr>
        <w:t xml:space="preserve">, werden sie von der </w:t>
      </w:r>
      <w:r w:rsidR="00AB6DD4">
        <w:rPr>
          <w:rFonts w:ascii="Verdana" w:hAnsi="Verdana"/>
          <w:sz w:val="20"/>
        </w:rPr>
        <w:t>Anwendung</w:t>
      </w:r>
      <w:r w:rsidR="000177BC">
        <w:rPr>
          <w:rFonts w:ascii="Verdana" w:hAnsi="Verdana"/>
          <w:sz w:val="20"/>
        </w:rPr>
        <w:t xml:space="preserve"> im Beton bzw. Zement </w:t>
      </w:r>
      <w:r w:rsidR="00AB6DD4">
        <w:rPr>
          <w:rFonts w:ascii="Verdana" w:hAnsi="Verdana"/>
          <w:sz w:val="20"/>
        </w:rPr>
        <w:t>ausgeschlossen</w:t>
      </w:r>
      <w:r w:rsidR="00DE7E19" w:rsidRPr="00DE7E19">
        <w:rPr>
          <w:rFonts w:ascii="Verdana" w:hAnsi="Verdana"/>
          <w:sz w:val="20"/>
        </w:rPr>
        <w:t xml:space="preserve">, </w:t>
      </w:r>
      <w:r w:rsidR="00E8090B">
        <w:rPr>
          <w:rFonts w:ascii="Verdana" w:hAnsi="Verdana"/>
          <w:sz w:val="20"/>
        </w:rPr>
        <w:t xml:space="preserve">auch wenn </w:t>
      </w:r>
      <w:r w:rsidR="00DE7E19" w:rsidRPr="00DE7E19">
        <w:rPr>
          <w:rFonts w:ascii="Verdana" w:hAnsi="Verdana"/>
          <w:sz w:val="20"/>
        </w:rPr>
        <w:t>die Eluatgrenzwerte sowohl der Gesteinskörnung als auch der damit hergestellten Betone eingehalten werden.</w:t>
      </w:r>
      <w:r w:rsidR="00E8090B" w:rsidRPr="00E8090B">
        <w:t xml:space="preserve"> </w:t>
      </w:r>
      <w:r w:rsidR="003E28A8" w:rsidRPr="003E28A8">
        <w:rPr>
          <w:rFonts w:ascii="Verdana" w:hAnsi="Verdana"/>
          <w:sz w:val="20"/>
        </w:rPr>
        <w:t>Es gibt keine</w:t>
      </w:r>
      <w:r w:rsidR="00B67562">
        <w:rPr>
          <w:rFonts w:ascii="Verdana" w:hAnsi="Verdana"/>
          <w:sz w:val="20"/>
        </w:rPr>
        <w:t>rlei</w:t>
      </w:r>
      <w:r w:rsidR="003E28A8" w:rsidRPr="003E28A8">
        <w:rPr>
          <w:rFonts w:ascii="Verdana" w:hAnsi="Verdana"/>
          <w:sz w:val="20"/>
        </w:rPr>
        <w:t xml:space="preserve"> wissenschaftlichen Belege dafür, </w:t>
      </w:r>
      <w:r w:rsidR="00C71486" w:rsidRPr="00066082">
        <w:rPr>
          <w:rFonts w:ascii="Verdana" w:hAnsi="Verdana"/>
          <w:sz w:val="20"/>
        </w:rPr>
        <w:t xml:space="preserve">dass die Überschreitung dieser </w:t>
      </w:r>
      <w:r w:rsidR="000151EE">
        <w:rPr>
          <w:rFonts w:ascii="Verdana" w:hAnsi="Verdana"/>
          <w:sz w:val="20"/>
        </w:rPr>
        <w:t>Feststoffg</w:t>
      </w:r>
      <w:r w:rsidR="00C71486" w:rsidRPr="00066082">
        <w:rPr>
          <w:rFonts w:ascii="Verdana" w:hAnsi="Verdana"/>
          <w:sz w:val="20"/>
        </w:rPr>
        <w:t xml:space="preserve">renzwerte </w:t>
      </w:r>
      <w:r w:rsidR="00B67562">
        <w:rPr>
          <w:rFonts w:ascii="Verdana" w:hAnsi="Verdana"/>
          <w:sz w:val="20"/>
        </w:rPr>
        <w:t xml:space="preserve">beim Einsatzstoff </w:t>
      </w:r>
      <w:r w:rsidR="00C71486">
        <w:rPr>
          <w:rFonts w:ascii="Verdana" w:hAnsi="Verdana"/>
          <w:sz w:val="20"/>
        </w:rPr>
        <w:t xml:space="preserve">bei </w:t>
      </w:r>
      <w:r w:rsidR="00B67562">
        <w:rPr>
          <w:rFonts w:ascii="Verdana" w:hAnsi="Verdana"/>
          <w:sz w:val="20"/>
        </w:rPr>
        <w:t xml:space="preserve">einer </w:t>
      </w:r>
      <w:r w:rsidR="00C71486">
        <w:rPr>
          <w:rFonts w:ascii="Verdana" w:hAnsi="Verdana"/>
          <w:sz w:val="20"/>
        </w:rPr>
        <w:t xml:space="preserve">Verwendung im Beton </w:t>
      </w:r>
      <w:r w:rsidR="00C71486" w:rsidRPr="00066082">
        <w:rPr>
          <w:rFonts w:ascii="Verdana" w:hAnsi="Verdana"/>
          <w:sz w:val="20"/>
        </w:rPr>
        <w:t xml:space="preserve">die Schutzgüter Mensch, Boden und Grundwasser beeinträchtigt. </w:t>
      </w:r>
    </w:p>
    <w:p w14:paraId="08FB6AE2" w14:textId="5B40B76A" w:rsidR="009D53FA" w:rsidRDefault="000151EE" w:rsidP="008247DA">
      <w:pPr>
        <w:keepNext/>
        <w:widowControl w:val="0"/>
        <w:spacing w:after="120"/>
        <w:outlineLvl w:val="0"/>
        <w:rPr>
          <w:rFonts w:ascii="Verdana" w:hAnsi="Verdana"/>
          <w:sz w:val="20"/>
        </w:rPr>
      </w:pPr>
      <w:r w:rsidRPr="000151EE">
        <w:rPr>
          <w:rFonts w:ascii="Verdana" w:hAnsi="Verdana"/>
          <w:sz w:val="20"/>
        </w:rPr>
        <w:t>Diese Regelungen haben weitreichende Folgen:</w:t>
      </w:r>
      <w:r w:rsidR="00E8090B" w:rsidRPr="00E8090B">
        <w:rPr>
          <w:rFonts w:ascii="Verdana" w:hAnsi="Verdana"/>
          <w:sz w:val="20"/>
        </w:rPr>
        <w:t xml:space="preserve"> Der Ausschluss dieser Materialien blockiert die Kreislaufwirtschaft, da er der effizienten Ressourcennutzung und Abfallvermeidung entgegensteht. Stattdessen wird der Abbau natürlicher Rohstoffe </w:t>
      </w:r>
      <w:r w:rsidR="00486E9F">
        <w:rPr>
          <w:rFonts w:ascii="Verdana" w:hAnsi="Verdana"/>
          <w:sz w:val="20"/>
        </w:rPr>
        <w:t xml:space="preserve">für den Hochbau </w:t>
      </w:r>
      <w:r w:rsidR="00E8090B" w:rsidRPr="00E8090B">
        <w:rPr>
          <w:rFonts w:ascii="Verdana" w:hAnsi="Verdana"/>
          <w:sz w:val="20"/>
        </w:rPr>
        <w:t>fortgesetzt, was sowohl die natürlichen Ressourcen belastet als auch den CO₂-Fußabdruck des Bauens erhöht</w:t>
      </w:r>
      <w:r w:rsidR="00B10A67">
        <w:rPr>
          <w:rFonts w:ascii="Verdana" w:hAnsi="Verdana"/>
          <w:sz w:val="20"/>
        </w:rPr>
        <w:t xml:space="preserve">, </w:t>
      </w:r>
      <w:r w:rsidR="00B10A67" w:rsidRPr="00B10A67">
        <w:rPr>
          <w:rFonts w:ascii="Verdana" w:hAnsi="Verdana"/>
          <w:sz w:val="20"/>
        </w:rPr>
        <w:t xml:space="preserve">da natürliche Gesteinskörnungen </w:t>
      </w:r>
      <w:r w:rsidR="00EC6F21">
        <w:rPr>
          <w:rFonts w:ascii="Verdana" w:hAnsi="Verdana"/>
          <w:sz w:val="20"/>
        </w:rPr>
        <w:t>i. d. R.</w:t>
      </w:r>
      <w:r w:rsidR="00EC6F21" w:rsidRPr="00B10A67">
        <w:rPr>
          <w:rFonts w:ascii="Verdana" w:hAnsi="Verdana"/>
          <w:sz w:val="20"/>
        </w:rPr>
        <w:t xml:space="preserve"> </w:t>
      </w:r>
      <w:r w:rsidR="00B10A67" w:rsidRPr="00B10A67">
        <w:rPr>
          <w:rFonts w:ascii="Verdana" w:hAnsi="Verdana"/>
          <w:sz w:val="20"/>
        </w:rPr>
        <w:t>einen größeren Energie- und CO₂-Aufwand erfordern.</w:t>
      </w:r>
      <w:r w:rsidR="00E8090B" w:rsidRPr="00E8090B">
        <w:rPr>
          <w:rFonts w:ascii="Verdana" w:hAnsi="Verdana"/>
          <w:sz w:val="20"/>
        </w:rPr>
        <w:t xml:space="preserve"> </w:t>
      </w:r>
    </w:p>
    <w:p w14:paraId="07E422CF" w14:textId="0D9B7845" w:rsidR="00066082" w:rsidRDefault="00E8090B" w:rsidP="008247DA">
      <w:pPr>
        <w:keepNext/>
        <w:widowControl w:val="0"/>
        <w:spacing w:after="120"/>
        <w:outlineLvl w:val="0"/>
        <w:rPr>
          <w:rFonts w:ascii="Verdana" w:hAnsi="Verdana"/>
          <w:sz w:val="20"/>
        </w:rPr>
      </w:pPr>
      <w:r w:rsidRPr="00E8090B">
        <w:rPr>
          <w:rFonts w:ascii="Verdana" w:hAnsi="Verdana"/>
          <w:sz w:val="20"/>
        </w:rPr>
        <w:t xml:space="preserve">Mit </w:t>
      </w:r>
      <w:r w:rsidR="00EC6F21">
        <w:rPr>
          <w:rFonts w:ascii="Verdana" w:hAnsi="Verdana"/>
          <w:sz w:val="20"/>
        </w:rPr>
        <w:t xml:space="preserve">dem Auslaufen der Kohleverstromung und </w:t>
      </w:r>
      <w:r w:rsidRPr="00E8090B">
        <w:rPr>
          <w:rFonts w:ascii="Verdana" w:hAnsi="Verdana"/>
          <w:sz w:val="20"/>
        </w:rPr>
        <w:t>der anstehenden Transformation der Stahlindustrie hin zu CO</w:t>
      </w:r>
      <w:r w:rsidRPr="00694552">
        <w:rPr>
          <w:rFonts w:ascii="Verdana" w:hAnsi="Verdana"/>
          <w:sz w:val="20"/>
          <w:vertAlign w:val="subscript"/>
        </w:rPr>
        <w:t>2</w:t>
      </w:r>
      <w:r w:rsidRPr="00E8090B">
        <w:rPr>
          <w:rFonts w:ascii="Verdana" w:hAnsi="Verdana"/>
          <w:sz w:val="20"/>
        </w:rPr>
        <w:t xml:space="preserve">-freier Produktion und dem </w:t>
      </w:r>
      <w:r w:rsidR="00EC6F21">
        <w:rPr>
          <w:rFonts w:ascii="Verdana" w:hAnsi="Verdana"/>
          <w:sz w:val="20"/>
        </w:rPr>
        <w:t xml:space="preserve">damit </w:t>
      </w:r>
      <w:r w:rsidR="00536F97">
        <w:rPr>
          <w:rFonts w:ascii="Verdana" w:hAnsi="Verdana"/>
          <w:sz w:val="20"/>
        </w:rPr>
        <w:t>einhergehenden</w:t>
      </w:r>
      <w:r w:rsidR="00EC6F21">
        <w:rPr>
          <w:rFonts w:ascii="Verdana" w:hAnsi="Verdana"/>
          <w:sz w:val="20"/>
        </w:rPr>
        <w:t xml:space="preserve"> </w:t>
      </w:r>
      <w:r w:rsidRPr="00E8090B">
        <w:rPr>
          <w:rFonts w:ascii="Verdana" w:hAnsi="Verdana"/>
          <w:sz w:val="20"/>
        </w:rPr>
        <w:t>schrittweisen Verschwinden des konventionellen Hüttensands als CO</w:t>
      </w:r>
      <w:r w:rsidRPr="00694552">
        <w:rPr>
          <w:rFonts w:ascii="Verdana" w:hAnsi="Verdana"/>
          <w:sz w:val="20"/>
          <w:vertAlign w:val="subscript"/>
        </w:rPr>
        <w:t>2</w:t>
      </w:r>
      <w:r w:rsidRPr="00E8090B">
        <w:rPr>
          <w:rFonts w:ascii="Verdana" w:hAnsi="Verdana"/>
          <w:sz w:val="20"/>
        </w:rPr>
        <w:t xml:space="preserve">-armem Portlandzementklinkersubstitut wird der Einsatz bestimmter </w:t>
      </w:r>
      <w:r w:rsidR="00694552">
        <w:rPr>
          <w:rFonts w:ascii="Verdana" w:hAnsi="Verdana"/>
          <w:sz w:val="20"/>
        </w:rPr>
        <w:t>Sekundärrohstoffe</w:t>
      </w:r>
      <w:r w:rsidRPr="00E8090B">
        <w:rPr>
          <w:rFonts w:ascii="Verdana" w:hAnsi="Verdana"/>
          <w:sz w:val="20"/>
        </w:rPr>
        <w:t xml:space="preserve"> </w:t>
      </w:r>
      <w:r w:rsidR="00FB59F1">
        <w:rPr>
          <w:rFonts w:ascii="Verdana" w:hAnsi="Verdana"/>
          <w:sz w:val="20"/>
        </w:rPr>
        <w:t>(</w:t>
      </w:r>
      <w:r w:rsidRPr="00E8090B">
        <w:rPr>
          <w:rFonts w:ascii="Verdana" w:hAnsi="Verdana"/>
          <w:sz w:val="20"/>
        </w:rPr>
        <w:t xml:space="preserve">wie </w:t>
      </w:r>
      <w:r w:rsidR="00FB59F1">
        <w:rPr>
          <w:rFonts w:ascii="Verdana" w:hAnsi="Verdana"/>
          <w:sz w:val="20"/>
        </w:rPr>
        <w:t xml:space="preserve">beispielsweise </w:t>
      </w:r>
      <w:r w:rsidRPr="00E8090B">
        <w:rPr>
          <w:rFonts w:ascii="Verdana" w:hAnsi="Verdana"/>
          <w:sz w:val="20"/>
        </w:rPr>
        <w:t>Stahlwerksschlacke</w:t>
      </w:r>
      <w:r w:rsidR="00FB59F1">
        <w:rPr>
          <w:rFonts w:ascii="Verdana" w:hAnsi="Verdana"/>
          <w:sz w:val="20"/>
        </w:rPr>
        <w:t>)</w:t>
      </w:r>
      <w:r w:rsidRPr="00E8090B">
        <w:rPr>
          <w:rFonts w:ascii="Verdana" w:hAnsi="Verdana"/>
          <w:sz w:val="20"/>
        </w:rPr>
        <w:t xml:space="preserve"> zunehmend relevant. Die aktuellen Regelungen hemmen jedoch diese nachhaltige Entwicklung </w:t>
      </w:r>
      <w:r w:rsidRPr="00E8090B">
        <w:rPr>
          <w:rFonts w:ascii="Verdana" w:hAnsi="Verdana"/>
          <w:sz w:val="20"/>
        </w:rPr>
        <w:lastRenderedPageBreak/>
        <w:t>und behindern Innovationen im Bereich der Kreislaufwirtschaft.</w:t>
      </w:r>
    </w:p>
    <w:p w14:paraId="7F51177C" w14:textId="77777777" w:rsidR="00B67562" w:rsidRDefault="00B67562" w:rsidP="008247DA">
      <w:pPr>
        <w:keepNext/>
        <w:widowControl w:val="0"/>
        <w:spacing w:after="120"/>
        <w:outlineLvl w:val="0"/>
        <w:rPr>
          <w:rFonts w:ascii="Verdana" w:hAnsi="Verdana"/>
          <w:sz w:val="20"/>
        </w:rPr>
      </w:pPr>
    </w:p>
    <w:p w14:paraId="1E77B388" w14:textId="4C01E59A" w:rsidR="004D70EF" w:rsidRPr="0058226D" w:rsidRDefault="004D70EF" w:rsidP="008F44A4">
      <w:pPr>
        <w:pStyle w:val="berschrift1"/>
        <w:ind w:left="322" w:hanging="322"/>
        <w:rPr>
          <w:sz w:val="24"/>
          <w:szCs w:val="24"/>
        </w:rPr>
      </w:pPr>
      <w:r w:rsidRPr="0058226D">
        <w:rPr>
          <w:sz w:val="24"/>
          <w:szCs w:val="24"/>
        </w:rPr>
        <w:t xml:space="preserve"> Forderungen zur Anpassung der Regelungen</w:t>
      </w:r>
      <w:r w:rsidR="0080682E" w:rsidRPr="0058226D">
        <w:rPr>
          <w:sz w:val="24"/>
          <w:szCs w:val="24"/>
        </w:rPr>
        <w:t>:</w:t>
      </w:r>
      <w:r w:rsidR="009157C6" w:rsidRPr="0058226D">
        <w:rPr>
          <w:sz w:val="24"/>
          <w:szCs w:val="24"/>
        </w:rPr>
        <w:t xml:space="preserve"> </w:t>
      </w:r>
      <w:r w:rsidR="008F44A4">
        <w:rPr>
          <w:sz w:val="24"/>
          <w:szCs w:val="24"/>
        </w:rPr>
        <w:t xml:space="preserve">                             </w:t>
      </w:r>
      <w:r w:rsidR="009157C6" w:rsidRPr="0058226D">
        <w:rPr>
          <w:sz w:val="24"/>
          <w:szCs w:val="24"/>
        </w:rPr>
        <w:t>Fokus auf das Endprodukt</w:t>
      </w:r>
    </w:p>
    <w:p w14:paraId="331BFB78" w14:textId="1983EA6E" w:rsidR="00974077" w:rsidRPr="00B512A3" w:rsidRDefault="003A4CB1" w:rsidP="0091363C">
      <w:pPr>
        <w:spacing w:after="120"/>
        <w:rPr>
          <w:rFonts w:ascii="Verdana" w:hAnsi="Verdana"/>
          <w:b/>
          <w:bCs/>
          <w:sz w:val="20"/>
        </w:rPr>
      </w:pPr>
      <w:r w:rsidRPr="003A4CB1">
        <w:rPr>
          <w:rFonts w:ascii="Verdana" w:hAnsi="Verdana"/>
          <w:sz w:val="20"/>
        </w:rPr>
        <w:t xml:space="preserve">Um die Verwendung von Sekundärrohstoffen und industriellen Gesteinskörnungen im Hochbau effektiv zu ermöglichen und die Ziele der Kreislaufwirtschaft zu fördern, sind gezielte </w:t>
      </w:r>
      <w:r w:rsidRPr="00B512A3">
        <w:rPr>
          <w:rFonts w:ascii="Verdana" w:hAnsi="Verdana"/>
          <w:sz w:val="20"/>
        </w:rPr>
        <w:t>Anpassungen der bestehenden Regelungen erforderlich.</w:t>
      </w:r>
    </w:p>
    <w:p w14:paraId="7BE865D8" w14:textId="173E856B" w:rsidR="008421F3" w:rsidRDefault="008421F3" w:rsidP="00BA0E08">
      <w:pPr>
        <w:spacing w:after="120"/>
        <w:rPr>
          <w:rFonts w:ascii="Verdana" w:hAnsi="Verdana"/>
          <w:sz w:val="20"/>
        </w:rPr>
      </w:pPr>
      <w:r w:rsidRPr="008421F3">
        <w:rPr>
          <w:rFonts w:ascii="Verdana" w:hAnsi="Verdana"/>
          <w:sz w:val="20"/>
        </w:rPr>
        <w:t xml:space="preserve">Die Umweltverträglichkeit </w:t>
      </w:r>
      <w:r w:rsidR="00EC6F21">
        <w:rPr>
          <w:rFonts w:ascii="Verdana" w:hAnsi="Verdana"/>
          <w:sz w:val="20"/>
        </w:rPr>
        <w:t>muss</w:t>
      </w:r>
      <w:r w:rsidR="00EC6F21" w:rsidRPr="008421F3">
        <w:rPr>
          <w:rFonts w:ascii="Verdana" w:hAnsi="Verdana"/>
          <w:sz w:val="20"/>
        </w:rPr>
        <w:t xml:space="preserve"> </w:t>
      </w:r>
      <w:r w:rsidRPr="008421F3">
        <w:rPr>
          <w:rFonts w:ascii="Verdana" w:hAnsi="Verdana"/>
          <w:sz w:val="20"/>
        </w:rPr>
        <w:t xml:space="preserve">primär am fertigen Produkt – dem Beton – und nicht an den einzelnen Komponenten gemessen werden. </w:t>
      </w:r>
      <w:r w:rsidR="00474859">
        <w:rPr>
          <w:rFonts w:ascii="Verdana" w:hAnsi="Verdana"/>
          <w:sz w:val="20"/>
        </w:rPr>
        <w:t>D</w:t>
      </w:r>
      <w:r w:rsidRPr="008421F3">
        <w:rPr>
          <w:rFonts w:ascii="Verdana" w:hAnsi="Verdana"/>
          <w:sz w:val="20"/>
        </w:rPr>
        <w:t xml:space="preserve">ie Umweltauswirkungen von Beton hängen </w:t>
      </w:r>
      <w:r w:rsidR="00EC6F21">
        <w:rPr>
          <w:rFonts w:ascii="Verdana" w:hAnsi="Verdana"/>
          <w:sz w:val="20"/>
        </w:rPr>
        <w:t>nicht</w:t>
      </w:r>
      <w:r w:rsidR="00EC6F21" w:rsidRPr="008421F3">
        <w:rPr>
          <w:rFonts w:ascii="Verdana" w:hAnsi="Verdana"/>
          <w:sz w:val="20"/>
        </w:rPr>
        <w:t xml:space="preserve"> </w:t>
      </w:r>
      <w:r w:rsidRPr="008421F3">
        <w:rPr>
          <w:rFonts w:ascii="Verdana" w:hAnsi="Verdana"/>
          <w:sz w:val="20"/>
        </w:rPr>
        <w:t xml:space="preserve">von den Eigenschaften der einzelnen Ausgangsstoffe ab, sondern davon, wie diese im fertigen Beton zusammenwirken. </w:t>
      </w:r>
      <w:r w:rsidR="00464F62">
        <w:rPr>
          <w:rFonts w:ascii="Verdana" w:hAnsi="Verdana"/>
          <w:sz w:val="20"/>
        </w:rPr>
        <w:t xml:space="preserve">Potenzielle </w:t>
      </w:r>
      <w:r w:rsidRPr="008421F3">
        <w:rPr>
          <w:rFonts w:ascii="Verdana" w:hAnsi="Verdana"/>
          <w:sz w:val="20"/>
        </w:rPr>
        <w:t xml:space="preserve">Schadstoffe, die in den </w:t>
      </w:r>
      <w:r w:rsidR="00464F62">
        <w:rPr>
          <w:rFonts w:ascii="Verdana" w:hAnsi="Verdana"/>
          <w:sz w:val="20"/>
        </w:rPr>
        <w:t>Ausgangsmaterialien</w:t>
      </w:r>
      <w:r w:rsidRPr="008421F3">
        <w:rPr>
          <w:rFonts w:ascii="Verdana" w:hAnsi="Verdana"/>
          <w:sz w:val="20"/>
        </w:rPr>
        <w:t xml:space="preserve"> enthalten </w:t>
      </w:r>
      <w:r w:rsidR="00464F62">
        <w:rPr>
          <w:rFonts w:ascii="Verdana" w:hAnsi="Verdana"/>
          <w:sz w:val="20"/>
        </w:rPr>
        <w:t>sein könnten, sind</w:t>
      </w:r>
      <w:r w:rsidRPr="008421F3">
        <w:rPr>
          <w:rFonts w:ascii="Verdana" w:hAnsi="Verdana"/>
          <w:sz w:val="20"/>
        </w:rPr>
        <w:t xml:space="preserve"> im fertigen Beton gebunden </w:t>
      </w:r>
      <w:r w:rsidR="00464F62">
        <w:rPr>
          <w:rFonts w:ascii="Verdana" w:hAnsi="Verdana"/>
          <w:sz w:val="20"/>
        </w:rPr>
        <w:t>und/</w:t>
      </w:r>
      <w:r w:rsidRPr="008421F3">
        <w:rPr>
          <w:rFonts w:ascii="Verdana" w:hAnsi="Verdana"/>
          <w:sz w:val="20"/>
        </w:rPr>
        <w:t xml:space="preserve">oder neutralisiert und </w:t>
      </w:r>
      <w:r w:rsidR="000C705F">
        <w:rPr>
          <w:rFonts w:ascii="Verdana" w:hAnsi="Verdana"/>
          <w:sz w:val="20"/>
        </w:rPr>
        <w:t xml:space="preserve">stellen </w:t>
      </w:r>
      <w:r w:rsidRPr="008421F3">
        <w:rPr>
          <w:rFonts w:ascii="Verdana" w:hAnsi="Verdana"/>
          <w:sz w:val="20"/>
        </w:rPr>
        <w:t xml:space="preserve">somit keine reale Gefahr </w:t>
      </w:r>
      <w:r w:rsidR="000C705F">
        <w:rPr>
          <w:rFonts w:ascii="Verdana" w:hAnsi="Verdana"/>
          <w:sz w:val="20"/>
        </w:rPr>
        <w:t>dar</w:t>
      </w:r>
      <w:r w:rsidRPr="008421F3">
        <w:rPr>
          <w:rFonts w:ascii="Verdana" w:hAnsi="Verdana"/>
          <w:sz w:val="20"/>
        </w:rPr>
        <w:t xml:space="preserve">. Da der Beton </w:t>
      </w:r>
      <w:r w:rsidR="00B67562">
        <w:rPr>
          <w:rFonts w:ascii="Verdana" w:hAnsi="Verdana"/>
          <w:sz w:val="20"/>
        </w:rPr>
        <w:t xml:space="preserve">nur </w:t>
      </w:r>
      <w:r w:rsidRPr="008421F3">
        <w:rPr>
          <w:rFonts w:ascii="Verdana" w:hAnsi="Verdana"/>
          <w:sz w:val="20"/>
        </w:rPr>
        <w:t xml:space="preserve">in seiner </w:t>
      </w:r>
      <w:r w:rsidR="00B67562">
        <w:rPr>
          <w:rFonts w:ascii="Verdana" w:hAnsi="Verdana"/>
          <w:sz w:val="20"/>
        </w:rPr>
        <w:t>endgültigen</w:t>
      </w:r>
      <w:r w:rsidR="00B67562" w:rsidRPr="008421F3">
        <w:rPr>
          <w:rFonts w:ascii="Verdana" w:hAnsi="Verdana"/>
          <w:sz w:val="20"/>
        </w:rPr>
        <w:t xml:space="preserve"> </w:t>
      </w:r>
      <w:r w:rsidRPr="008421F3">
        <w:rPr>
          <w:rFonts w:ascii="Verdana" w:hAnsi="Verdana"/>
          <w:sz w:val="20"/>
        </w:rPr>
        <w:t xml:space="preserve">Form direkt mit der Umwelt in Kontakt tritt, ist es </w:t>
      </w:r>
      <w:r w:rsidR="00EC6F21">
        <w:rPr>
          <w:rFonts w:ascii="Verdana" w:hAnsi="Verdana"/>
          <w:sz w:val="20"/>
        </w:rPr>
        <w:t>erforderlich</w:t>
      </w:r>
      <w:r w:rsidRPr="008421F3">
        <w:rPr>
          <w:rFonts w:ascii="Verdana" w:hAnsi="Verdana"/>
          <w:sz w:val="20"/>
        </w:rPr>
        <w:t>, die potenziellen Umweltauswirkungen d</w:t>
      </w:r>
      <w:r w:rsidR="00B67562">
        <w:rPr>
          <w:rFonts w:ascii="Verdana" w:hAnsi="Verdana"/>
          <w:sz w:val="20"/>
        </w:rPr>
        <w:t>ies</w:t>
      </w:r>
      <w:r w:rsidRPr="008421F3">
        <w:rPr>
          <w:rFonts w:ascii="Verdana" w:hAnsi="Verdana"/>
          <w:sz w:val="20"/>
        </w:rPr>
        <w:t xml:space="preserve">es Endprodukts zu untersuchen, da </w:t>
      </w:r>
      <w:r w:rsidR="00B67562">
        <w:rPr>
          <w:rFonts w:ascii="Verdana" w:hAnsi="Verdana"/>
          <w:sz w:val="20"/>
        </w:rPr>
        <w:t xml:space="preserve">nur </w:t>
      </w:r>
      <w:r w:rsidRPr="008421F3">
        <w:rPr>
          <w:rFonts w:ascii="Verdana" w:hAnsi="Verdana"/>
          <w:sz w:val="20"/>
        </w:rPr>
        <w:t>diese die tatsächliche Belastung für Wasser, Boden und Luft bestimmen – und nicht die Rohstoffe in ihrem ungebundenen Zustand.</w:t>
      </w:r>
    </w:p>
    <w:p w14:paraId="2D9BC6DB" w14:textId="505A457F" w:rsidR="009248E0" w:rsidRDefault="009248E0" w:rsidP="003978A4">
      <w:pPr>
        <w:spacing w:after="120"/>
        <w:rPr>
          <w:rFonts w:ascii="Verdana" w:hAnsi="Verdana"/>
          <w:sz w:val="20"/>
        </w:rPr>
      </w:pPr>
      <w:r w:rsidRPr="009248E0">
        <w:rPr>
          <w:rFonts w:ascii="Verdana" w:hAnsi="Verdana"/>
          <w:sz w:val="20"/>
        </w:rPr>
        <w:t xml:space="preserve">Die derzeitige Praxis, sowohl die einzelnen Ausgangsstoffe als auch das Endprodukt zu prüfen, führt zu einer unnötigen Doppelbelastung, ohne zusätzlichen Erkenntnisgewinn in Bezug auf Umwelt- oder Gesundheitsrisiken. </w:t>
      </w:r>
    </w:p>
    <w:p w14:paraId="3A63FDFB" w14:textId="4AFA2568" w:rsidR="00B67562" w:rsidRDefault="00B67562" w:rsidP="00B67562">
      <w:pPr>
        <w:rPr>
          <w:rFonts w:ascii="Verdana" w:hAnsi="Verdana"/>
          <w:sz w:val="20"/>
        </w:rPr>
      </w:pPr>
      <w:r w:rsidRPr="003D1609">
        <w:rPr>
          <w:rFonts w:ascii="Verdana" w:hAnsi="Verdana"/>
          <w:sz w:val="20"/>
        </w:rPr>
        <w:t xml:space="preserve">Eine ganzheitliche Betrachtung steht im Einklang mit den Prinzipien der Kreislaufwirtschaft. Sie fördert die effiziente Nutzung von Ressourcen, indem sie den Fokus auf das Gesamtsystem legt und verhindert, dass Rohstoffe voreilig ausgeschlossen werden, </w:t>
      </w:r>
      <w:r w:rsidRPr="00A73BA6">
        <w:rPr>
          <w:rFonts w:ascii="Verdana" w:hAnsi="Verdana"/>
          <w:sz w:val="20"/>
        </w:rPr>
        <w:t>ohne dass dies einen Mehrwert für den Umweltschutz darstellt.</w:t>
      </w:r>
      <w:r>
        <w:rPr>
          <w:rFonts w:ascii="Verdana" w:hAnsi="Verdana"/>
          <w:sz w:val="20"/>
        </w:rPr>
        <w:t xml:space="preserve"> </w:t>
      </w:r>
      <w:r w:rsidRPr="003D1609">
        <w:rPr>
          <w:rFonts w:ascii="Verdana" w:hAnsi="Verdana"/>
          <w:sz w:val="20"/>
        </w:rPr>
        <w:t>Durch diese Anpassung wird nicht nur der Umweltschutz gestärkt, sondern auch die Integration von Sekundärrohstoffen in den Kreislauf ermöglicht, was zu einer nachhaltigeren Bauwirtschaft beiträgt.</w:t>
      </w:r>
    </w:p>
    <w:p w14:paraId="33BE0D47" w14:textId="7979DD52" w:rsidR="00A87E4A" w:rsidRDefault="00A87E4A" w:rsidP="003978A4">
      <w:pPr>
        <w:spacing w:after="120"/>
        <w:rPr>
          <w:rFonts w:ascii="Verdana" w:hAnsi="Verdana"/>
          <w:sz w:val="20"/>
        </w:rPr>
      </w:pPr>
      <w:r w:rsidRPr="00A87E4A">
        <w:rPr>
          <w:rFonts w:ascii="Verdana" w:hAnsi="Verdana"/>
          <w:sz w:val="20"/>
        </w:rPr>
        <w:t xml:space="preserve">Für eine sachgerechte Bewertung eignet sich das europäisch standardisierte Trogverfahren gemäß DIN EN 16637-2, das </w:t>
      </w:r>
      <w:r w:rsidR="00B67562">
        <w:rPr>
          <w:rFonts w:ascii="Verdana" w:hAnsi="Verdana"/>
          <w:sz w:val="20"/>
        </w:rPr>
        <w:t xml:space="preserve">für die Bewertung des Betons </w:t>
      </w:r>
      <w:r w:rsidRPr="00A87E4A">
        <w:rPr>
          <w:rFonts w:ascii="Verdana" w:hAnsi="Verdana"/>
          <w:sz w:val="20"/>
        </w:rPr>
        <w:t xml:space="preserve">bereits in </w:t>
      </w:r>
      <w:r w:rsidR="00B67562" w:rsidRPr="00A87E4A">
        <w:rPr>
          <w:rFonts w:ascii="Verdana" w:hAnsi="Verdana"/>
          <w:sz w:val="20"/>
        </w:rPr>
        <w:t>de</w:t>
      </w:r>
      <w:r w:rsidR="00B67562">
        <w:rPr>
          <w:rFonts w:ascii="Verdana" w:hAnsi="Verdana"/>
          <w:sz w:val="20"/>
        </w:rPr>
        <w:t>n</w:t>
      </w:r>
      <w:r w:rsidR="00B67562" w:rsidRPr="00A87E4A">
        <w:rPr>
          <w:rFonts w:ascii="Verdana" w:hAnsi="Verdana"/>
          <w:sz w:val="20"/>
        </w:rPr>
        <w:t xml:space="preserve"> </w:t>
      </w:r>
      <w:r w:rsidRPr="00A87E4A">
        <w:rPr>
          <w:rFonts w:ascii="Verdana" w:hAnsi="Verdana"/>
          <w:sz w:val="20"/>
        </w:rPr>
        <w:t>aktuellen ABuG verankert ist. Die durch das DIBt festgelegten Grenzwerte, die auf belastbaren Modellrechnungen basieren, bieten eine verlässliche Grundlage zur Beurteilung der Auswirkungen auf das Grundwasser.</w:t>
      </w:r>
    </w:p>
    <w:p w14:paraId="64262F34" w14:textId="20F06E49" w:rsidR="00B67562" w:rsidRDefault="00B67562" w:rsidP="003D1609">
      <w:pPr>
        <w:rPr>
          <w:rFonts w:ascii="Verdana" w:hAnsi="Verdana"/>
          <w:sz w:val="20"/>
        </w:rPr>
      </w:pPr>
    </w:p>
    <w:p w14:paraId="1F763A6B" w14:textId="532C8B20" w:rsidR="00216F35" w:rsidRPr="00931CE0" w:rsidRDefault="00216F35" w:rsidP="00216F35">
      <w:pPr>
        <w:pStyle w:val="berschrift1"/>
        <w:ind w:left="0"/>
        <w:rPr>
          <w:sz w:val="24"/>
          <w:szCs w:val="24"/>
        </w:rPr>
      </w:pPr>
      <w:r w:rsidRPr="00931CE0">
        <w:rPr>
          <w:sz w:val="24"/>
          <w:szCs w:val="24"/>
        </w:rPr>
        <w:lastRenderedPageBreak/>
        <w:t xml:space="preserve">Bewertung der Auswirkungen auf Mensch und Umwelt </w:t>
      </w:r>
    </w:p>
    <w:p w14:paraId="054DE3ED" w14:textId="157EE5AB" w:rsidR="000C1411" w:rsidRDefault="000C1411" w:rsidP="000C1411">
      <w:pPr>
        <w:spacing w:after="120"/>
        <w:rPr>
          <w:rFonts w:ascii="Verdana" w:hAnsi="Verdana"/>
          <w:sz w:val="20"/>
        </w:rPr>
      </w:pPr>
      <w:r w:rsidRPr="000C08D8">
        <w:rPr>
          <w:rFonts w:ascii="Verdana" w:hAnsi="Verdana"/>
          <w:sz w:val="20"/>
        </w:rPr>
        <w:t>Die Bewertungskriterien beim Einsatz von Materialien im Hochbau umfassen im Wesentlichen drei Aspekte:</w:t>
      </w:r>
      <w:r>
        <w:rPr>
          <w:rFonts w:ascii="Verdana" w:hAnsi="Verdana"/>
          <w:sz w:val="20"/>
        </w:rPr>
        <w:t xml:space="preserve"> (1)</w:t>
      </w:r>
      <w:r w:rsidRPr="000C08D8">
        <w:rPr>
          <w:rFonts w:ascii="Verdana" w:hAnsi="Verdana"/>
          <w:sz w:val="20"/>
        </w:rPr>
        <w:t xml:space="preserve"> Schutz von B</w:t>
      </w:r>
      <w:r w:rsidR="00C340F0">
        <w:rPr>
          <w:rFonts w:ascii="Verdana" w:hAnsi="Verdana"/>
          <w:sz w:val="20"/>
        </w:rPr>
        <w:t>o</w:t>
      </w:r>
      <w:r w:rsidRPr="000C08D8">
        <w:rPr>
          <w:rFonts w:ascii="Verdana" w:hAnsi="Verdana"/>
          <w:sz w:val="20"/>
        </w:rPr>
        <w:t xml:space="preserve">den und Grundwasser, </w:t>
      </w:r>
      <w:r>
        <w:rPr>
          <w:rFonts w:ascii="Verdana" w:hAnsi="Verdana"/>
          <w:sz w:val="20"/>
        </w:rPr>
        <w:t xml:space="preserve">(2) </w:t>
      </w:r>
      <w:r w:rsidRPr="000C08D8">
        <w:rPr>
          <w:rFonts w:ascii="Verdana" w:hAnsi="Verdana"/>
          <w:sz w:val="20"/>
        </w:rPr>
        <w:t xml:space="preserve">Schutz des Menschen und </w:t>
      </w:r>
      <w:r>
        <w:rPr>
          <w:rFonts w:ascii="Verdana" w:hAnsi="Verdana"/>
          <w:sz w:val="20"/>
        </w:rPr>
        <w:t xml:space="preserve">(3) </w:t>
      </w:r>
      <w:r w:rsidRPr="000C08D8">
        <w:rPr>
          <w:rFonts w:ascii="Verdana" w:hAnsi="Verdana"/>
          <w:sz w:val="20"/>
        </w:rPr>
        <w:t>Vermeidung von Schadstoffanreicherung im Wertstoffkreislauf, auch über den Lebenszyklus hinaus</w:t>
      </w:r>
      <w:r>
        <w:rPr>
          <w:rFonts w:ascii="Verdana" w:hAnsi="Verdana"/>
          <w:sz w:val="20"/>
        </w:rPr>
        <w:t xml:space="preserve"> (Recyclingfähigkeit)</w:t>
      </w:r>
      <w:r w:rsidRPr="000C08D8">
        <w:rPr>
          <w:rFonts w:ascii="Verdana" w:hAnsi="Verdana"/>
          <w:sz w:val="20"/>
        </w:rPr>
        <w:t>.</w:t>
      </w:r>
    </w:p>
    <w:p w14:paraId="0365DBA9" w14:textId="77777777" w:rsidR="00B67562" w:rsidRDefault="00B67562" w:rsidP="000C1411">
      <w:pPr>
        <w:spacing w:after="120"/>
        <w:rPr>
          <w:rFonts w:ascii="Verdana" w:hAnsi="Verdana"/>
          <w:sz w:val="20"/>
        </w:rPr>
      </w:pPr>
    </w:p>
    <w:p w14:paraId="79E898BC" w14:textId="16678CFA" w:rsidR="00447E3B" w:rsidRPr="00547288" w:rsidRDefault="00447E3B" w:rsidP="00447E3B">
      <w:pPr>
        <w:autoSpaceDE w:val="0"/>
        <w:autoSpaceDN w:val="0"/>
        <w:adjustRightInd w:val="0"/>
        <w:spacing w:after="120"/>
        <w:rPr>
          <w:rFonts w:ascii="Verdana" w:hAnsi="Verdana"/>
          <w:b/>
          <w:bCs/>
          <w:sz w:val="20"/>
        </w:rPr>
      </w:pPr>
      <w:r w:rsidRPr="00547288">
        <w:rPr>
          <w:rFonts w:ascii="Verdana" w:hAnsi="Verdana"/>
          <w:b/>
          <w:bCs/>
          <w:sz w:val="20"/>
        </w:rPr>
        <w:t>Schutz von B</w:t>
      </w:r>
      <w:r w:rsidR="00C340F0">
        <w:rPr>
          <w:rFonts w:ascii="Verdana" w:hAnsi="Verdana"/>
          <w:b/>
          <w:bCs/>
          <w:sz w:val="20"/>
        </w:rPr>
        <w:t>o</w:t>
      </w:r>
      <w:r w:rsidRPr="00547288">
        <w:rPr>
          <w:rFonts w:ascii="Verdana" w:hAnsi="Verdana"/>
          <w:b/>
          <w:bCs/>
          <w:sz w:val="20"/>
        </w:rPr>
        <w:t>den und Grundwasser</w:t>
      </w:r>
    </w:p>
    <w:p w14:paraId="6B386E3D" w14:textId="32EB6F08" w:rsidR="00447E3B" w:rsidRDefault="00447E3B" w:rsidP="00447E3B">
      <w:pPr>
        <w:autoSpaceDE w:val="0"/>
        <w:autoSpaceDN w:val="0"/>
        <w:adjustRightInd w:val="0"/>
        <w:spacing w:after="120"/>
        <w:rPr>
          <w:rFonts w:ascii="Verdana" w:hAnsi="Verdana"/>
          <w:sz w:val="20"/>
        </w:rPr>
      </w:pPr>
      <w:r w:rsidRPr="00547288">
        <w:rPr>
          <w:rFonts w:ascii="Verdana" w:hAnsi="Verdana"/>
          <w:sz w:val="20"/>
        </w:rPr>
        <w:t>Das eluatbasierte Bewertungskonzept der Ersatzbaustoffverordnung (EBV) ist das Ergebnis zahlreicher und umfangreicher Forschungsprojekte</w:t>
      </w:r>
      <w:r>
        <w:rPr>
          <w:rFonts w:ascii="Verdana" w:hAnsi="Verdana"/>
          <w:sz w:val="20"/>
        </w:rPr>
        <w:t xml:space="preserve">, </w:t>
      </w:r>
      <w:r w:rsidRPr="007359A2">
        <w:rPr>
          <w:rFonts w:ascii="Verdana" w:hAnsi="Verdana"/>
          <w:sz w:val="20"/>
        </w:rPr>
        <w:t>die die Stofffreisetzung für verschiedene mineralische Baustoffe unter Berücksichtigung unterschiedlicher Einbauweisen modelliert haben.</w:t>
      </w:r>
      <w:r>
        <w:rPr>
          <w:rFonts w:ascii="Verdana" w:hAnsi="Verdana"/>
          <w:sz w:val="20"/>
        </w:rPr>
        <w:t xml:space="preserve"> </w:t>
      </w:r>
      <w:r w:rsidRPr="00547288">
        <w:rPr>
          <w:rFonts w:ascii="Verdana" w:hAnsi="Verdana"/>
          <w:sz w:val="20"/>
        </w:rPr>
        <w:t>Durch Ableitung von Materialwerten für verschiedene Szenarien wird sichergestellt, dass bei Einhaltung dieser Werte der Schutz von B</w:t>
      </w:r>
      <w:r w:rsidR="00C340F0">
        <w:rPr>
          <w:rFonts w:ascii="Verdana" w:hAnsi="Verdana"/>
          <w:sz w:val="20"/>
        </w:rPr>
        <w:t>o</w:t>
      </w:r>
      <w:r w:rsidRPr="00547288">
        <w:rPr>
          <w:rFonts w:ascii="Verdana" w:hAnsi="Verdana"/>
          <w:sz w:val="20"/>
        </w:rPr>
        <w:t>den und Grundwasser gewährleistet ist. Die Ersatzbaustoffverordnung gewährleistet damit den bestmöglichen Einsatz von mineralischen Ersatzbaustoffen im Sinne des Kreislaufwirtschaftsgesetzes (KrWG) bei gleichzeitigem Schutz von B</w:t>
      </w:r>
      <w:r w:rsidR="00C340F0">
        <w:rPr>
          <w:rFonts w:ascii="Verdana" w:hAnsi="Verdana"/>
          <w:sz w:val="20"/>
        </w:rPr>
        <w:t>o</w:t>
      </w:r>
      <w:r w:rsidRPr="00547288">
        <w:rPr>
          <w:rFonts w:ascii="Verdana" w:hAnsi="Verdana"/>
          <w:sz w:val="20"/>
        </w:rPr>
        <w:t xml:space="preserve">den und Grundwasser. </w:t>
      </w:r>
    </w:p>
    <w:p w14:paraId="6EEA036F" w14:textId="6EE219AC" w:rsidR="00447E3B" w:rsidRDefault="00447E3B" w:rsidP="00447E3B">
      <w:pPr>
        <w:autoSpaceDE w:val="0"/>
        <w:autoSpaceDN w:val="0"/>
        <w:adjustRightInd w:val="0"/>
        <w:spacing w:after="120"/>
        <w:rPr>
          <w:rFonts w:ascii="Verdana" w:hAnsi="Verdana"/>
          <w:sz w:val="20"/>
        </w:rPr>
      </w:pPr>
      <w:r w:rsidRPr="00273EFA">
        <w:rPr>
          <w:rFonts w:ascii="Verdana" w:hAnsi="Verdana"/>
          <w:sz w:val="20"/>
        </w:rPr>
        <w:t xml:space="preserve">Da Beton </w:t>
      </w:r>
      <w:r>
        <w:rPr>
          <w:rFonts w:ascii="Verdana" w:hAnsi="Verdana"/>
          <w:sz w:val="20"/>
        </w:rPr>
        <w:t>ein</w:t>
      </w:r>
      <w:r w:rsidRPr="00273EFA">
        <w:rPr>
          <w:rFonts w:ascii="Verdana" w:hAnsi="Verdana"/>
          <w:sz w:val="20"/>
        </w:rPr>
        <w:t xml:space="preserve"> wasserundurchlässiger Verbundstoff </w:t>
      </w:r>
      <w:r>
        <w:rPr>
          <w:rFonts w:ascii="Verdana" w:hAnsi="Verdana"/>
          <w:sz w:val="20"/>
        </w:rPr>
        <w:t>ist</w:t>
      </w:r>
      <w:r w:rsidRPr="00273EFA">
        <w:rPr>
          <w:rFonts w:ascii="Verdana" w:hAnsi="Verdana"/>
          <w:sz w:val="20"/>
        </w:rPr>
        <w:t xml:space="preserve">, stellt der Einsatz von Materialien, die </w:t>
      </w:r>
      <w:r>
        <w:rPr>
          <w:rFonts w:ascii="Verdana" w:hAnsi="Verdana"/>
          <w:sz w:val="20"/>
        </w:rPr>
        <w:t xml:space="preserve">gemäß EBV die Anforderungen für gebundene Bauweisen erfüllen, </w:t>
      </w:r>
      <w:r w:rsidRPr="00273EFA">
        <w:rPr>
          <w:rFonts w:ascii="Verdana" w:hAnsi="Verdana"/>
          <w:sz w:val="20"/>
        </w:rPr>
        <w:t xml:space="preserve">bei sachgerechtem Einsatz in einer Betonmatrix </w:t>
      </w:r>
      <w:r>
        <w:rPr>
          <w:rFonts w:ascii="Verdana" w:hAnsi="Verdana"/>
          <w:sz w:val="20"/>
        </w:rPr>
        <w:t xml:space="preserve">sicherlich </w:t>
      </w:r>
      <w:r w:rsidRPr="00273EFA">
        <w:rPr>
          <w:rFonts w:ascii="Verdana" w:hAnsi="Verdana"/>
          <w:sz w:val="20"/>
        </w:rPr>
        <w:t>keine Gefahr für Boden und Grundwasser dar.</w:t>
      </w:r>
      <w:r>
        <w:rPr>
          <w:rFonts w:ascii="Verdana" w:hAnsi="Verdana"/>
          <w:sz w:val="20"/>
        </w:rPr>
        <w:t xml:space="preserve"> </w:t>
      </w:r>
      <w:r w:rsidRPr="00547288">
        <w:rPr>
          <w:rFonts w:ascii="Verdana" w:hAnsi="Verdana"/>
          <w:sz w:val="20"/>
        </w:rPr>
        <w:t xml:space="preserve">Ein gemäß EBV geprüfter Baustoff stellt folglich bei sachgerechtem Einsatz </w:t>
      </w:r>
      <w:r w:rsidR="00B67562">
        <w:rPr>
          <w:rFonts w:ascii="Verdana" w:hAnsi="Verdana"/>
          <w:sz w:val="20"/>
        </w:rPr>
        <w:t xml:space="preserve">auch im Hochbau </w:t>
      </w:r>
      <w:r w:rsidRPr="00547288">
        <w:rPr>
          <w:rFonts w:ascii="Verdana" w:hAnsi="Verdana"/>
          <w:sz w:val="20"/>
        </w:rPr>
        <w:t xml:space="preserve">kein Risiko für die Umwelt dar. </w:t>
      </w:r>
    </w:p>
    <w:p w14:paraId="22929B1C" w14:textId="2EDB4225" w:rsidR="00447E3B" w:rsidRDefault="00447E3B" w:rsidP="00447E3B">
      <w:pPr>
        <w:autoSpaceDE w:val="0"/>
        <w:autoSpaceDN w:val="0"/>
        <w:adjustRightInd w:val="0"/>
        <w:spacing w:after="120"/>
        <w:rPr>
          <w:rFonts w:ascii="Verdana" w:hAnsi="Verdana"/>
          <w:sz w:val="20"/>
        </w:rPr>
      </w:pPr>
      <w:r w:rsidRPr="008428DE">
        <w:rPr>
          <w:rFonts w:ascii="Verdana" w:hAnsi="Verdana"/>
          <w:sz w:val="20"/>
        </w:rPr>
        <w:t xml:space="preserve">Für Materialien, die nicht in der EBV geregelt sind, kann eine analoge </w:t>
      </w:r>
      <w:r>
        <w:rPr>
          <w:rFonts w:ascii="Verdana" w:hAnsi="Verdana"/>
          <w:sz w:val="20"/>
        </w:rPr>
        <w:t>Betrachtung</w:t>
      </w:r>
      <w:r w:rsidRPr="008428DE">
        <w:rPr>
          <w:rFonts w:ascii="Verdana" w:hAnsi="Verdana"/>
          <w:sz w:val="20"/>
        </w:rPr>
        <w:t xml:space="preserve"> im Einzelfall </w:t>
      </w:r>
      <w:r>
        <w:rPr>
          <w:rFonts w:ascii="Verdana" w:hAnsi="Verdana"/>
          <w:sz w:val="20"/>
        </w:rPr>
        <w:t>erfolgen</w:t>
      </w:r>
      <w:r w:rsidRPr="008428DE">
        <w:rPr>
          <w:rFonts w:ascii="Verdana" w:hAnsi="Verdana"/>
          <w:sz w:val="20"/>
        </w:rPr>
        <w:t>.</w:t>
      </w:r>
      <w:r>
        <w:rPr>
          <w:rFonts w:ascii="Verdana" w:hAnsi="Verdana"/>
          <w:sz w:val="20"/>
        </w:rPr>
        <w:t xml:space="preserve"> </w:t>
      </w:r>
      <w:r w:rsidRPr="00D10477">
        <w:rPr>
          <w:rFonts w:ascii="Verdana" w:hAnsi="Verdana"/>
          <w:sz w:val="20"/>
        </w:rPr>
        <w:t xml:space="preserve">Dabei ist jedoch eine Bewertung im Kontext des Endprodukts </w:t>
      </w:r>
      <w:r w:rsidR="00B67562">
        <w:rPr>
          <w:rFonts w:ascii="Verdana" w:hAnsi="Verdana"/>
          <w:sz w:val="20"/>
        </w:rPr>
        <w:t>erforderlich</w:t>
      </w:r>
      <w:r w:rsidRPr="00D10477">
        <w:rPr>
          <w:rFonts w:ascii="Verdana" w:hAnsi="Verdana"/>
          <w:sz w:val="20"/>
        </w:rPr>
        <w:t>. Das Betoneluat bietet eine realistischere Einschätzung der tatsächlichen Umweltbelastung, da es die Wechselwirkungen der Materialien im fertigen Beton berücksichtigt.</w:t>
      </w:r>
    </w:p>
    <w:p w14:paraId="6D55364B" w14:textId="77777777" w:rsidR="00447E3B" w:rsidRDefault="00447E3B" w:rsidP="00447E3B">
      <w:pPr>
        <w:autoSpaceDE w:val="0"/>
        <w:autoSpaceDN w:val="0"/>
        <w:adjustRightInd w:val="0"/>
        <w:spacing w:after="120"/>
        <w:rPr>
          <w:rFonts w:ascii="Verdana" w:hAnsi="Verdana"/>
          <w:sz w:val="20"/>
        </w:rPr>
      </w:pPr>
    </w:p>
    <w:p w14:paraId="7910D321" w14:textId="77777777" w:rsidR="00447E3B" w:rsidRPr="00547288" w:rsidRDefault="00447E3B" w:rsidP="00447E3B">
      <w:pPr>
        <w:autoSpaceDE w:val="0"/>
        <w:autoSpaceDN w:val="0"/>
        <w:adjustRightInd w:val="0"/>
        <w:spacing w:after="120"/>
        <w:rPr>
          <w:rFonts w:ascii="Verdana" w:hAnsi="Verdana"/>
          <w:b/>
          <w:bCs/>
          <w:sz w:val="20"/>
        </w:rPr>
      </w:pPr>
      <w:r w:rsidRPr="00547288">
        <w:rPr>
          <w:rFonts w:ascii="Verdana" w:hAnsi="Verdana"/>
          <w:b/>
          <w:bCs/>
          <w:sz w:val="20"/>
        </w:rPr>
        <w:t xml:space="preserve">Schutz des Menschen </w:t>
      </w:r>
    </w:p>
    <w:p w14:paraId="15808ACF" w14:textId="77777777" w:rsidR="00447E3B" w:rsidRPr="009908EB" w:rsidRDefault="00447E3B" w:rsidP="00447E3B">
      <w:pPr>
        <w:spacing w:after="120"/>
        <w:rPr>
          <w:rFonts w:ascii="Verdana" w:hAnsi="Verdana"/>
          <w:sz w:val="20"/>
        </w:rPr>
      </w:pPr>
      <w:r w:rsidRPr="00DC6B65">
        <w:rPr>
          <w:rFonts w:ascii="Verdana" w:hAnsi="Verdana"/>
          <w:sz w:val="20"/>
        </w:rPr>
        <w:t xml:space="preserve">Bei der Bewertung potenzieller Gefahren für den Menschen müssen insbesondere die Expositionswege berücksichtigt werden (Aufnahme über Haut, Mund oder Atemwege). </w:t>
      </w:r>
      <w:r w:rsidRPr="00A56358">
        <w:rPr>
          <w:rFonts w:ascii="Verdana" w:hAnsi="Verdana"/>
          <w:sz w:val="20"/>
        </w:rPr>
        <w:t xml:space="preserve">Eine orale Aufnahme von Sekundärrohstoffen ist unter normalen Umständen sowohl im Hochbau als auch im Verkehrswegebau auszuschließen, sodass keine Gefahr für den Menschen besteht. </w:t>
      </w:r>
    </w:p>
    <w:p w14:paraId="7F59D760" w14:textId="12D34846" w:rsidR="00447E3B" w:rsidRDefault="00447E3B" w:rsidP="00447E3B">
      <w:pPr>
        <w:spacing w:after="120"/>
        <w:rPr>
          <w:rFonts w:ascii="Verdana" w:hAnsi="Verdana"/>
          <w:sz w:val="20"/>
        </w:rPr>
      </w:pPr>
      <w:r w:rsidRPr="009908EB">
        <w:rPr>
          <w:rFonts w:ascii="Verdana" w:hAnsi="Verdana"/>
          <w:sz w:val="20"/>
        </w:rPr>
        <w:lastRenderedPageBreak/>
        <w:t xml:space="preserve">Der Hautkontakt mit den industriellen Gesteinskörnungen (dermale Exposition) kann, zumindest theoretisch, während der Materialaufbereitung oder bei Bauarbeiten auftreten, beispielsweise bei der Verarbeitung von Frischbeton. Allerdings ist davon auszugehen, dass </w:t>
      </w:r>
      <w:r>
        <w:rPr>
          <w:rFonts w:ascii="Verdana" w:hAnsi="Verdana"/>
          <w:sz w:val="20"/>
        </w:rPr>
        <w:t xml:space="preserve">die in der EBV geregelten </w:t>
      </w:r>
      <w:r w:rsidRPr="009908EB">
        <w:rPr>
          <w:rFonts w:ascii="Verdana" w:hAnsi="Verdana"/>
          <w:sz w:val="20"/>
        </w:rPr>
        <w:t xml:space="preserve">Materialien eine so geringe Freisetzung von potenziellen Schadstoffen aufweisen, dass </w:t>
      </w:r>
      <w:r>
        <w:rPr>
          <w:rFonts w:ascii="Verdana" w:hAnsi="Verdana"/>
          <w:sz w:val="20"/>
        </w:rPr>
        <w:t>gesundheitliche Risiken minimiert sind</w:t>
      </w:r>
      <w:r w:rsidR="00010D08">
        <w:rPr>
          <w:rFonts w:ascii="Verdana" w:hAnsi="Verdana"/>
          <w:sz w:val="20"/>
        </w:rPr>
        <w:t>.</w:t>
      </w:r>
      <w:r w:rsidRPr="00BA18E8">
        <w:rPr>
          <w:rFonts w:ascii="Verdana" w:hAnsi="Verdana"/>
          <w:sz w:val="20"/>
        </w:rPr>
        <w:t xml:space="preserve"> </w:t>
      </w:r>
    </w:p>
    <w:p w14:paraId="34A87636" w14:textId="420F8872" w:rsidR="00447E3B" w:rsidRDefault="00447E3B" w:rsidP="00447E3B">
      <w:pPr>
        <w:spacing w:after="120"/>
        <w:rPr>
          <w:rFonts w:ascii="Verdana" w:hAnsi="Verdana"/>
          <w:sz w:val="20"/>
        </w:rPr>
      </w:pPr>
      <w:r w:rsidRPr="0026153C">
        <w:rPr>
          <w:rFonts w:ascii="Verdana" w:hAnsi="Verdana"/>
          <w:sz w:val="20"/>
        </w:rPr>
        <w:t xml:space="preserve">Das Risiko der inhalativen Aufnahme von Schadstoffen ist bei der Verwendung von Sekundärrohstoffen in Betonen gering, da die Schadstoffe in der festen Matrix des Betons gebunden sind. Bei </w:t>
      </w:r>
      <w:r>
        <w:rPr>
          <w:rFonts w:ascii="Verdana" w:hAnsi="Verdana"/>
          <w:sz w:val="20"/>
        </w:rPr>
        <w:t>Bohrarbeiten</w:t>
      </w:r>
      <w:r w:rsidRPr="0026153C">
        <w:rPr>
          <w:rFonts w:ascii="Verdana" w:hAnsi="Verdana"/>
          <w:sz w:val="20"/>
        </w:rPr>
        <w:t xml:space="preserve"> oder Abbruch von Beton kann </w:t>
      </w:r>
      <w:r w:rsidR="00B4590D">
        <w:rPr>
          <w:rFonts w:ascii="Verdana" w:hAnsi="Verdana"/>
          <w:sz w:val="20"/>
        </w:rPr>
        <w:t xml:space="preserve">immer </w:t>
      </w:r>
      <w:r w:rsidRPr="0026153C">
        <w:rPr>
          <w:rFonts w:ascii="Verdana" w:hAnsi="Verdana"/>
          <w:sz w:val="20"/>
        </w:rPr>
        <w:t xml:space="preserve">Staub entstehen, </w:t>
      </w:r>
      <w:r w:rsidR="00B4590D">
        <w:rPr>
          <w:rFonts w:ascii="Verdana" w:hAnsi="Verdana"/>
          <w:sz w:val="20"/>
        </w:rPr>
        <w:t xml:space="preserve">der durch entsprechende Präventionsmaßnahmen </w:t>
      </w:r>
      <w:r w:rsidR="0082030E">
        <w:rPr>
          <w:rFonts w:ascii="Verdana" w:hAnsi="Verdana"/>
          <w:sz w:val="20"/>
        </w:rPr>
        <w:t xml:space="preserve">grundsätzlich </w:t>
      </w:r>
      <w:r w:rsidR="00B4590D">
        <w:rPr>
          <w:rFonts w:ascii="Verdana" w:hAnsi="Verdana"/>
          <w:sz w:val="20"/>
        </w:rPr>
        <w:t>zu</w:t>
      </w:r>
      <w:r w:rsidR="0082030E">
        <w:rPr>
          <w:rFonts w:ascii="Verdana" w:hAnsi="Verdana"/>
          <w:sz w:val="20"/>
        </w:rPr>
        <w:t xml:space="preserve"> </w:t>
      </w:r>
      <w:r w:rsidR="00B4590D">
        <w:rPr>
          <w:rFonts w:ascii="Verdana" w:hAnsi="Verdana"/>
          <w:sz w:val="20"/>
        </w:rPr>
        <w:t xml:space="preserve">minimieren ist. In diesem Zusammenhang ist wichtig, dass </w:t>
      </w:r>
      <w:r w:rsidRPr="0080756B">
        <w:rPr>
          <w:rFonts w:ascii="Verdana" w:hAnsi="Verdana"/>
          <w:sz w:val="20"/>
        </w:rPr>
        <w:t xml:space="preserve">die Exposition gegenüber solchen Partikeln in der Regel vergleichbar </w:t>
      </w:r>
      <w:r w:rsidR="00B4590D" w:rsidRPr="0080756B">
        <w:rPr>
          <w:rFonts w:ascii="Verdana" w:hAnsi="Verdana"/>
          <w:sz w:val="20"/>
        </w:rPr>
        <w:t xml:space="preserve">ist </w:t>
      </w:r>
      <w:r w:rsidRPr="0080756B">
        <w:rPr>
          <w:rFonts w:ascii="Verdana" w:hAnsi="Verdana"/>
          <w:sz w:val="20"/>
        </w:rPr>
        <w:t xml:space="preserve">mit den Risiken </w:t>
      </w:r>
      <w:r w:rsidR="0082030E">
        <w:rPr>
          <w:rFonts w:ascii="Verdana" w:hAnsi="Verdana"/>
          <w:sz w:val="20"/>
        </w:rPr>
        <w:t>durch</w:t>
      </w:r>
      <w:r w:rsidR="0082030E" w:rsidRPr="0080756B">
        <w:rPr>
          <w:rFonts w:ascii="Verdana" w:hAnsi="Verdana"/>
          <w:sz w:val="20"/>
        </w:rPr>
        <w:t xml:space="preserve"> </w:t>
      </w:r>
      <w:r w:rsidRPr="0080756B">
        <w:rPr>
          <w:rFonts w:ascii="Verdana" w:hAnsi="Verdana"/>
          <w:sz w:val="20"/>
        </w:rPr>
        <w:t>Betonstaub</w:t>
      </w:r>
      <w:r w:rsidR="0082030E">
        <w:rPr>
          <w:rFonts w:ascii="Verdana" w:hAnsi="Verdana"/>
          <w:sz w:val="20"/>
        </w:rPr>
        <w:t xml:space="preserve"> mit natürlichen Ausgangsstoffen</w:t>
      </w:r>
      <w:r w:rsidRPr="0080756B">
        <w:rPr>
          <w:rFonts w:ascii="Verdana" w:hAnsi="Verdana"/>
          <w:sz w:val="20"/>
        </w:rPr>
        <w:t xml:space="preserve">. </w:t>
      </w:r>
    </w:p>
    <w:p w14:paraId="3DCBC4AB" w14:textId="286074C0" w:rsidR="00447E3B" w:rsidRDefault="00447E3B" w:rsidP="00447E3B">
      <w:pPr>
        <w:spacing w:after="120"/>
        <w:rPr>
          <w:rFonts w:ascii="Verdana" w:hAnsi="Verdana"/>
          <w:sz w:val="20"/>
        </w:rPr>
      </w:pPr>
      <w:r w:rsidRPr="002D2E43">
        <w:rPr>
          <w:rFonts w:ascii="Verdana" w:hAnsi="Verdana"/>
          <w:sz w:val="20"/>
        </w:rPr>
        <w:t>Einige Sekundärrohstoffe wurden im Rahmen der REAC</w:t>
      </w:r>
      <w:r w:rsidR="000B5BBE">
        <w:rPr>
          <w:rFonts w:ascii="Verdana" w:hAnsi="Verdana"/>
          <w:sz w:val="20"/>
        </w:rPr>
        <w:t>H</w:t>
      </w:r>
      <w:r w:rsidRPr="002D2E43">
        <w:rPr>
          <w:rFonts w:ascii="Verdana" w:hAnsi="Verdana"/>
          <w:sz w:val="20"/>
        </w:rPr>
        <w:t>-Registrierung umfassenden öko- und humantoxikologischen Prüfungen unterzogen. Diese Untersuchungen erlauben eine fundierte Einschätzung, ob gemäß der CLP-Verordnung eine Einstufung als gefährlich notwendig ist und ob bei der Verwendung Risiken für die Gesundheit zu erwarten sind (siehe Fallbeispiele unten).</w:t>
      </w:r>
    </w:p>
    <w:p w14:paraId="56F5D834" w14:textId="77777777" w:rsidR="008421F3" w:rsidRDefault="008421F3" w:rsidP="00BA0E08">
      <w:pPr>
        <w:spacing w:after="120"/>
        <w:rPr>
          <w:rFonts w:ascii="Verdana" w:hAnsi="Verdana"/>
          <w:sz w:val="20"/>
        </w:rPr>
      </w:pPr>
    </w:p>
    <w:p w14:paraId="400076DC" w14:textId="77777777" w:rsidR="00157D45" w:rsidRDefault="00157D45" w:rsidP="00157D45">
      <w:pPr>
        <w:spacing w:after="120"/>
        <w:rPr>
          <w:rFonts w:ascii="Verdana" w:hAnsi="Verdana"/>
          <w:b/>
          <w:bCs/>
          <w:sz w:val="20"/>
        </w:rPr>
      </w:pPr>
      <w:r w:rsidRPr="00BE5ABB">
        <w:rPr>
          <w:rFonts w:ascii="Verdana" w:hAnsi="Verdana"/>
          <w:b/>
          <w:bCs/>
          <w:sz w:val="20"/>
        </w:rPr>
        <w:t>Vermeidung von Schadstoffanreicherung im Wertstoffkreislauf</w:t>
      </w:r>
      <w:r>
        <w:rPr>
          <w:rFonts w:ascii="Verdana" w:hAnsi="Verdana"/>
          <w:b/>
          <w:bCs/>
          <w:sz w:val="20"/>
        </w:rPr>
        <w:t xml:space="preserve"> </w:t>
      </w:r>
    </w:p>
    <w:p w14:paraId="73EAEBEB" w14:textId="1A1C8695" w:rsidR="00606F22" w:rsidRDefault="00606F22" w:rsidP="001A4DB2">
      <w:pPr>
        <w:spacing w:after="120"/>
        <w:rPr>
          <w:rFonts w:ascii="Verdana" w:hAnsi="Verdana"/>
          <w:sz w:val="20"/>
        </w:rPr>
      </w:pPr>
      <w:r w:rsidRPr="00606F22">
        <w:rPr>
          <w:rFonts w:ascii="Verdana" w:hAnsi="Verdana"/>
          <w:sz w:val="20"/>
        </w:rPr>
        <w:t>Die pauschale Einstufung von Sekundärrohstoffen als Schadstoffe ist nicht gerechtfertigt. Viele dieser Stoffe wurden im Rahmen der REACH-Registrierung umfassend geprüft und weisen kein Gefährdungspotenzial auf. Wenn durch toxikologische Untersuchungen belegt ist, dass ein Sekundärrohstoff kein</w:t>
      </w:r>
      <w:r w:rsidR="0082030E">
        <w:rPr>
          <w:rFonts w:ascii="Verdana" w:hAnsi="Verdana"/>
          <w:sz w:val="20"/>
        </w:rPr>
        <w:t>en</w:t>
      </w:r>
      <w:r w:rsidRPr="00606F22">
        <w:rPr>
          <w:rFonts w:ascii="Verdana" w:hAnsi="Verdana"/>
          <w:sz w:val="20"/>
        </w:rPr>
        <w:t xml:space="preserve"> Schadstoff</w:t>
      </w:r>
      <w:r w:rsidR="00881CAA">
        <w:rPr>
          <w:rFonts w:ascii="Verdana" w:hAnsi="Verdana"/>
          <w:sz w:val="20"/>
        </w:rPr>
        <w:t xml:space="preserve"> darstellt</w:t>
      </w:r>
      <w:r w:rsidRPr="00606F22">
        <w:rPr>
          <w:rFonts w:ascii="Verdana" w:hAnsi="Verdana"/>
          <w:sz w:val="20"/>
        </w:rPr>
        <w:t>, kann auch keine Schadstoffanreicherung stattfinden.</w:t>
      </w:r>
    </w:p>
    <w:p w14:paraId="67B1C5F7" w14:textId="72EB42C0" w:rsidR="00606F22" w:rsidRDefault="009B2686" w:rsidP="001A4DB2">
      <w:pPr>
        <w:spacing w:after="120"/>
        <w:rPr>
          <w:rFonts w:ascii="Verdana" w:hAnsi="Verdana"/>
          <w:sz w:val="20"/>
        </w:rPr>
      </w:pPr>
      <w:r w:rsidRPr="009B2686">
        <w:rPr>
          <w:rFonts w:ascii="Verdana" w:hAnsi="Verdana"/>
          <w:sz w:val="20"/>
        </w:rPr>
        <w:t xml:space="preserve">Selbst wenn einzelne Bestandteile von Sekundärrohstoffen als potenziell schädlich gelten, verlangt das Kreislaufwirtschaftsgesetz eine sorgfältige Abwägung. Einerseits sollen Ressourcen durch die Nutzung von Sekundärrohstoffen und die Verwertung von Abfällen geschont werden, andererseits müssen die Anforderungen an den Schutz der Umwelt und der menschlichen Gesundheit beachtet werden. Diese Abwägung </w:t>
      </w:r>
      <w:r w:rsidR="006B0301">
        <w:rPr>
          <w:rFonts w:ascii="Verdana" w:hAnsi="Verdana"/>
          <w:sz w:val="20"/>
        </w:rPr>
        <w:t>ist</w:t>
      </w:r>
      <w:r w:rsidRPr="009B2686">
        <w:rPr>
          <w:rFonts w:ascii="Verdana" w:hAnsi="Verdana"/>
          <w:sz w:val="20"/>
        </w:rPr>
        <w:t xml:space="preserve"> bei der Festlegung der in den ABuG festgelegten </w:t>
      </w:r>
      <w:r w:rsidR="00881CAA">
        <w:rPr>
          <w:rFonts w:ascii="Verdana" w:hAnsi="Verdana"/>
          <w:sz w:val="20"/>
        </w:rPr>
        <w:t>Feststoffgren</w:t>
      </w:r>
      <w:r w:rsidR="006B0301">
        <w:rPr>
          <w:rFonts w:ascii="Verdana" w:hAnsi="Verdana"/>
          <w:sz w:val="20"/>
        </w:rPr>
        <w:t>z</w:t>
      </w:r>
      <w:r w:rsidR="00881CAA">
        <w:rPr>
          <w:rFonts w:ascii="Verdana" w:hAnsi="Verdana"/>
          <w:sz w:val="20"/>
        </w:rPr>
        <w:t>werten</w:t>
      </w:r>
      <w:r w:rsidRPr="009B2686">
        <w:rPr>
          <w:rFonts w:ascii="Verdana" w:hAnsi="Verdana"/>
          <w:sz w:val="20"/>
        </w:rPr>
        <w:t xml:space="preserve"> nicht erfolgt. Eine realistische Bewertung der Gefährdung sollte sich auf die </w:t>
      </w:r>
      <w:r w:rsidR="001E422D">
        <w:rPr>
          <w:rFonts w:ascii="Verdana" w:hAnsi="Verdana"/>
          <w:sz w:val="20"/>
        </w:rPr>
        <w:t xml:space="preserve">realistische </w:t>
      </w:r>
      <w:r w:rsidRPr="009B2686">
        <w:rPr>
          <w:rFonts w:ascii="Verdana" w:hAnsi="Verdana"/>
          <w:sz w:val="20"/>
        </w:rPr>
        <w:t>Wahrscheinlichkeit eines tatsächlichen Schadenseintritts stützen und nicht auf bloße Vermutungen.</w:t>
      </w:r>
    </w:p>
    <w:p w14:paraId="429DE1B3" w14:textId="15B42D05" w:rsidR="001F4F1D" w:rsidRDefault="001F4F1D" w:rsidP="001F4F1D">
      <w:pPr>
        <w:spacing w:after="120"/>
        <w:rPr>
          <w:rFonts w:ascii="Verdana" w:hAnsi="Verdana"/>
          <w:sz w:val="20"/>
        </w:rPr>
      </w:pPr>
    </w:p>
    <w:p w14:paraId="72148D5A" w14:textId="77777777" w:rsidR="00785101" w:rsidRPr="0002090F" w:rsidRDefault="00785101" w:rsidP="001F4F1D">
      <w:pPr>
        <w:spacing w:after="120"/>
        <w:rPr>
          <w:rFonts w:ascii="Verdana" w:hAnsi="Verdana"/>
          <w:sz w:val="20"/>
        </w:rPr>
      </w:pPr>
    </w:p>
    <w:p w14:paraId="561ED2AC" w14:textId="52785887" w:rsidR="00243D32" w:rsidRPr="0071027B" w:rsidRDefault="00243D32" w:rsidP="0091363C">
      <w:pPr>
        <w:spacing w:after="120"/>
        <w:rPr>
          <w:rFonts w:ascii="Verdana" w:hAnsi="Verdana"/>
          <w:b/>
          <w:bCs/>
          <w:sz w:val="20"/>
        </w:rPr>
      </w:pPr>
      <w:r w:rsidRPr="0071027B">
        <w:rPr>
          <w:rFonts w:ascii="Verdana" w:hAnsi="Verdana"/>
          <w:b/>
          <w:bCs/>
          <w:sz w:val="20"/>
        </w:rPr>
        <w:lastRenderedPageBreak/>
        <w:t xml:space="preserve">Bewertung des </w:t>
      </w:r>
      <w:r w:rsidR="00AA707A">
        <w:rPr>
          <w:rFonts w:ascii="Verdana" w:hAnsi="Verdana"/>
          <w:b/>
          <w:bCs/>
          <w:sz w:val="20"/>
        </w:rPr>
        <w:t>´“</w:t>
      </w:r>
      <w:r w:rsidRPr="0071027B">
        <w:rPr>
          <w:rFonts w:ascii="Verdana" w:hAnsi="Verdana"/>
          <w:b/>
          <w:bCs/>
          <w:sz w:val="20"/>
        </w:rPr>
        <w:t>Second</w:t>
      </w:r>
      <w:r w:rsidR="00AA707A">
        <w:rPr>
          <w:rFonts w:ascii="Verdana" w:hAnsi="Verdana"/>
          <w:b/>
          <w:bCs/>
          <w:sz w:val="20"/>
        </w:rPr>
        <w:t xml:space="preserve"> </w:t>
      </w:r>
      <w:r w:rsidRPr="0071027B">
        <w:rPr>
          <w:rFonts w:ascii="Verdana" w:hAnsi="Verdana"/>
          <w:b/>
          <w:bCs/>
          <w:sz w:val="20"/>
        </w:rPr>
        <w:t>Life</w:t>
      </w:r>
      <w:r w:rsidR="00AA707A">
        <w:rPr>
          <w:rFonts w:ascii="Verdana" w:hAnsi="Verdana"/>
          <w:b/>
          <w:bCs/>
          <w:sz w:val="20"/>
        </w:rPr>
        <w:t>“ von Beton</w:t>
      </w:r>
    </w:p>
    <w:p w14:paraId="05BE8E85" w14:textId="226B55B4" w:rsidR="000D3D2B" w:rsidRDefault="009F24BD" w:rsidP="0091363C">
      <w:pPr>
        <w:spacing w:after="120"/>
        <w:rPr>
          <w:rFonts w:ascii="Verdana" w:hAnsi="Verdana"/>
          <w:sz w:val="20"/>
        </w:rPr>
      </w:pPr>
      <w:r w:rsidRPr="009F24BD">
        <w:rPr>
          <w:rFonts w:ascii="Verdana" w:hAnsi="Verdana"/>
          <w:sz w:val="20"/>
        </w:rPr>
        <w:t xml:space="preserve">Nach dem ersten Lebenszyklus eines Bauwerks wird Beton </w:t>
      </w:r>
      <w:r w:rsidR="0082030E">
        <w:rPr>
          <w:rFonts w:ascii="Verdana" w:hAnsi="Verdana"/>
          <w:sz w:val="20"/>
        </w:rPr>
        <w:t>i. d. R.</w:t>
      </w:r>
      <w:r w:rsidR="0082030E" w:rsidRPr="009F24BD">
        <w:rPr>
          <w:rFonts w:ascii="Verdana" w:hAnsi="Verdana"/>
          <w:sz w:val="20"/>
        </w:rPr>
        <w:t xml:space="preserve"> </w:t>
      </w:r>
      <w:r w:rsidRPr="009F24BD">
        <w:rPr>
          <w:rFonts w:ascii="Verdana" w:hAnsi="Verdana"/>
          <w:sz w:val="20"/>
        </w:rPr>
        <w:t xml:space="preserve">recycelt und </w:t>
      </w:r>
      <w:r w:rsidR="009903B6">
        <w:rPr>
          <w:rFonts w:ascii="Verdana" w:hAnsi="Verdana"/>
          <w:sz w:val="20"/>
        </w:rPr>
        <w:t>erneut in</w:t>
      </w:r>
      <w:r w:rsidRPr="009F24BD">
        <w:rPr>
          <w:rFonts w:ascii="Verdana" w:hAnsi="Verdana"/>
          <w:sz w:val="20"/>
        </w:rPr>
        <w:t xml:space="preserve"> Bauprojekten verwendet.</w:t>
      </w:r>
      <w:r w:rsidR="000D3D2B" w:rsidRPr="000D3D2B">
        <w:rPr>
          <w:rFonts w:ascii="Verdana" w:hAnsi="Verdana"/>
          <w:sz w:val="20"/>
        </w:rPr>
        <w:t xml:space="preserve"> Entscheidend ist dabei: Wenn industrielle Gesteinskörnungen während der Nutzungsphase des Betons keine Schadstoffe darstellen, besteht auch nach dem Abbruch keine Gefahr einer Schadstoffanreicherung.</w:t>
      </w:r>
    </w:p>
    <w:p w14:paraId="57482269" w14:textId="37785533" w:rsidR="0082030E" w:rsidRDefault="0082030E" w:rsidP="00447E3B">
      <w:pPr>
        <w:spacing w:after="120"/>
        <w:rPr>
          <w:rFonts w:ascii="Verdana" w:eastAsia="Arial" w:hAnsi="Verdana"/>
          <w:sz w:val="20"/>
        </w:rPr>
      </w:pPr>
      <w:r w:rsidRPr="00180734">
        <w:rPr>
          <w:rFonts w:ascii="Verdana" w:eastAsia="Arial" w:hAnsi="Verdana"/>
          <w:sz w:val="20"/>
        </w:rPr>
        <w:t xml:space="preserve">Der </w:t>
      </w:r>
      <w:r w:rsidR="00447E3B" w:rsidRPr="00180734">
        <w:rPr>
          <w:rFonts w:ascii="Verdana" w:eastAsia="Arial" w:hAnsi="Verdana"/>
          <w:sz w:val="20"/>
        </w:rPr>
        <w:t xml:space="preserve">Recyclingprozess für mineralische Bauabfälle </w:t>
      </w:r>
      <w:r w:rsidRPr="00180734">
        <w:rPr>
          <w:rFonts w:ascii="Verdana" w:eastAsia="Arial" w:hAnsi="Verdana"/>
          <w:sz w:val="20"/>
        </w:rPr>
        <w:t xml:space="preserve">ist </w:t>
      </w:r>
      <w:r w:rsidR="00447E3B">
        <w:rPr>
          <w:rFonts w:ascii="Verdana" w:eastAsia="Arial" w:hAnsi="Verdana"/>
          <w:sz w:val="20"/>
        </w:rPr>
        <w:t xml:space="preserve">bisher </w:t>
      </w:r>
      <w:r w:rsidR="00447E3B" w:rsidRPr="00180734">
        <w:rPr>
          <w:rFonts w:ascii="Verdana" w:eastAsia="Arial" w:hAnsi="Verdana"/>
          <w:sz w:val="20"/>
        </w:rPr>
        <w:t>eher durch einen nur moderaten technischen Aufwand geprägt</w:t>
      </w:r>
      <w:r>
        <w:rPr>
          <w:rFonts w:ascii="Verdana" w:eastAsia="Arial" w:hAnsi="Verdana"/>
          <w:sz w:val="20"/>
        </w:rPr>
        <w:t>,</w:t>
      </w:r>
      <w:r w:rsidR="00447E3B" w:rsidRPr="00180734">
        <w:rPr>
          <w:rFonts w:ascii="Verdana" w:eastAsia="Arial" w:hAnsi="Verdana"/>
          <w:sz w:val="20"/>
        </w:rPr>
        <w:t xml:space="preserve"> </w:t>
      </w:r>
      <w:r>
        <w:rPr>
          <w:rFonts w:ascii="Verdana" w:eastAsia="Arial" w:hAnsi="Verdana"/>
          <w:sz w:val="20"/>
        </w:rPr>
        <w:t>bei dem</w:t>
      </w:r>
      <w:r w:rsidRPr="00180734">
        <w:rPr>
          <w:rFonts w:ascii="Verdana" w:eastAsia="Arial" w:hAnsi="Verdana"/>
          <w:sz w:val="20"/>
        </w:rPr>
        <w:t xml:space="preserve"> </w:t>
      </w:r>
      <w:r w:rsidR="00447E3B" w:rsidRPr="00180734">
        <w:rPr>
          <w:rFonts w:ascii="Verdana" w:eastAsia="Arial" w:hAnsi="Verdana"/>
          <w:sz w:val="20"/>
        </w:rPr>
        <w:t>neben der Abtrennung von Metallen im Wesentlichen eine Trennung in Grob- und Feinfraktion vorgenommen wird</w:t>
      </w:r>
      <w:r>
        <w:rPr>
          <w:rFonts w:ascii="Verdana" w:eastAsia="Arial" w:hAnsi="Verdana"/>
          <w:sz w:val="20"/>
        </w:rPr>
        <w:t>.</w:t>
      </w:r>
      <w:r w:rsidR="00447E3B" w:rsidRPr="00180734">
        <w:rPr>
          <w:rFonts w:ascii="Verdana" w:eastAsia="Arial" w:hAnsi="Verdana"/>
          <w:sz w:val="20"/>
        </w:rPr>
        <w:t xml:space="preserve"> </w:t>
      </w:r>
      <w:r w:rsidRPr="00180734">
        <w:rPr>
          <w:rFonts w:ascii="Verdana" w:eastAsia="Arial" w:hAnsi="Verdana"/>
          <w:sz w:val="20"/>
        </w:rPr>
        <w:t xml:space="preserve">Diese </w:t>
      </w:r>
      <w:r w:rsidR="00447E3B" w:rsidRPr="00180734">
        <w:rPr>
          <w:rFonts w:ascii="Verdana" w:eastAsia="Arial" w:hAnsi="Verdana"/>
          <w:sz w:val="20"/>
        </w:rPr>
        <w:t xml:space="preserve">Aufbereitungstechnik </w:t>
      </w:r>
      <w:r w:rsidRPr="00180734">
        <w:rPr>
          <w:rFonts w:ascii="Verdana" w:eastAsia="Arial" w:hAnsi="Verdana"/>
          <w:sz w:val="20"/>
        </w:rPr>
        <w:t xml:space="preserve">gilt </w:t>
      </w:r>
      <w:r>
        <w:rPr>
          <w:rFonts w:ascii="Verdana" w:eastAsia="Arial" w:hAnsi="Verdana"/>
          <w:sz w:val="20"/>
        </w:rPr>
        <w:t xml:space="preserve">aber </w:t>
      </w:r>
      <w:r w:rsidR="00447E3B" w:rsidRPr="00180734">
        <w:rPr>
          <w:rFonts w:ascii="Verdana" w:eastAsia="Arial" w:hAnsi="Verdana"/>
          <w:sz w:val="20"/>
        </w:rPr>
        <w:t xml:space="preserve">zunehmend als überholt. </w:t>
      </w:r>
      <w:r w:rsidR="00447E3B">
        <w:rPr>
          <w:rFonts w:ascii="Verdana" w:eastAsia="Arial" w:hAnsi="Verdana"/>
          <w:sz w:val="20"/>
        </w:rPr>
        <w:t>Aufwendigere Aufbereitungsanlagen</w:t>
      </w:r>
      <w:r w:rsidR="00447E3B" w:rsidRPr="00180734">
        <w:rPr>
          <w:rFonts w:ascii="Verdana" w:eastAsia="Arial" w:hAnsi="Verdana"/>
          <w:sz w:val="20"/>
        </w:rPr>
        <w:t>, insbesondere in Bezug auf die Separation von Gesteinskörnungen, Sand und Zementstein,</w:t>
      </w:r>
      <w:r w:rsidR="00447E3B">
        <w:rPr>
          <w:rFonts w:ascii="Verdana" w:eastAsia="Arial" w:hAnsi="Verdana"/>
          <w:sz w:val="20"/>
        </w:rPr>
        <w:t xml:space="preserve"> sind derzeit bereits im Pilotmaßstab im Betrieb</w:t>
      </w:r>
      <w:r w:rsidR="006338CF">
        <w:rPr>
          <w:rFonts w:ascii="Verdana" w:eastAsia="Arial" w:hAnsi="Verdana"/>
          <w:sz w:val="20"/>
        </w:rPr>
        <w:t xml:space="preserve">. </w:t>
      </w:r>
      <w:r w:rsidR="00447E3B" w:rsidRPr="00180734">
        <w:rPr>
          <w:rFonts w:ascii="Verdana" w:eastAsia="Arial" w:hAnsi="Verdana"/>
          <w:sz w:val="20"/>
        </w:rPr>
        <w:t>Es ist absehbar, dass die Zukunft des Betonrecyclings in erheblichem Maße auf die Erreichung von Sortenreinheit abzielen wird</w:t>
      </w:r>
      <w:r w:rsidR="006338CF">
        <w:rPr>
          <w:rFonts w:ascii="Verdana" w:eastAsia="Arial" w:hAnsi="Verdana"/>
          <w:sz w:val="20"/>
        </w:rPr>
        <w:t xml:space="preserve">, </w:t>
      </w:r>
      <w:r w:rsidR="00447E3B" w:rsidRPr="00180734">
        <w:rPr>
          <w:rFonts w:ascii="Verdana" w:eastAsia="Arial" w:hAnsi="Verdana"/>
          <w:sz w:val="20"/>
        </w:rPr>
        <w:t xml:space="preserve">weil dies eine </w:t>
      </w:r>
      <w:r w:rsidR="00447E3B">
        <w:rPr>
          <w:rFonts w:ascii="Verdana" w:eastAsia="Arial" w:hAnsi="Verdana"/>
          <w:sz w:val="20"/>
        </w:rPr>
        <w:t xml:space="preserve">erheblich </w:t>
      </w:r>
      <w:r w:rsidR="00447E3B" w:rsidRPr="00180734">
        <w:rPr>
          <w:rFonts w:ascii="Verdana" w:eastAsia="Arial" w:hAnsi="Verdana"/>
          <w:sz w:val="20"/>
        </w:rPr>
        <w:t xml:space="preserve">höherwertige Wiederverwertung ermöglicht. </w:t>
      </w:r>
    </w:p>
    <w:p w14:paraId="6253E50D" w14:textId="1E696729" w:rsidR="00447E3B" w:rsidRPr="00180734" w:rsidRDefault="00447E3B" w:rsidP="00447E3B">
      <w:pPr>
        <w:spacing w:after="120"/>
        <w:rPr>
          <w:rFonts w:ascii="Verdana" w:eastAsia="Arial" w:hAnsi="Verdana"/>
          <w:sz w:val="20"/>
        </w:rPr>
      </w:pPr>
      <w:r w:rsidRPr="00180734">
        <w:rPr>
          <w:rFonts w:ascii="Verdana" w:eastAsia="Arial" w:hAnsi="Verdana"/>
          <w:sz w:val="20"/>
        </w:rPr>
        <w:t xml:space="preserve">Angesichts politischer Vorgaben im Bereich der Nachhaltigkeit und Ressourceneffizienz wird der Druck auf die Zement- und Betonindustrie stärker, die internen Kreisläufe zu schließen. Ein deutlicher Trend zeichnet sich ab, der auf sortenreine Verwertung und die </w:t>
      </w:r>
      <w:r w:rsidR="006338CF">
        <w:rPr>
          <w:rFonts w:ascii="Verdana" w:eastAsia="Arial" w:hAnsi="Verdana"/>
          <w:sz w:val="20"/>
        </w:rPr>
        <w:t xml:space="preserve">dafür erforderliche </w:t>
      </w:r>
      <w:r w:rsidRPr="00180734">
        <w:rPr>
          <w:rFonts w:ascii="Verdana" w:eastAsia="Arial" w:hAnsi="Verdana"/>
          <w:sz w:val="20"/>
        </w:rPr>
        <w:t>Optimierung der Aufbereitungstechnik abzielt. Das Hauptziel besteht bereits jetzt zweifellos darin, mineralische Bauabfälle in den Kreislauf der Baustoffe zurückzuführen, um natürliche Ressourcen zu schonen und CO</w:t>
      </w:r>
      <w:r w:rsidRPr="00180734">
        <w:rPr>
          <w:rFonts w:ascii="Verdana" w:eastAsia="Arial" w:hAnsi="Verdana"/>
          <w:sz w:val="20"/>
          <w:vertAlign w:val="subscript"/>
        </w:rPr>
        <w:t>2</w:t>
      </w:r>
      <w:r w:rsidRPr="00180734">
        <w:rPr>
          <w:rFonts w:ascii="Verdana" w:eastAsia="Arial" w:hAnsi="Verdana"/>
          <w:sz w:val="20"/>
        </w:rPr>
        <w:t xml:space="preserve">-Emissionen zu reduzieren. Dies beinhaltet den Einsatz von recyceltem Gesteinskörnungsmaterial anstelle von Naturstein und die Verwendung von "Concrete Fines" (entweder unbehandelt oder nach Zwangskarbonatisierung) als gemahlener Zementbestandteil (entsprechend der EN 197-6). Eine Verschleppung in andere Materialkreisläufe und damit einhergehende eventuelle Probleme hinsichtlich der Produktverantwortung ist daher bereits jetzt </w:t>
      </w:r>
      <w:r w:rsidR="006338CF">
        <w:rPr>
          <w:rFonts w:ascii="Verdana" w:eastAsia="Arial" w:hAnsi="Verdana"/>
          <w:sz w:val="20"/>
        </w:rPr>
        <w:t xml:space="preserve">nicht mehr </w:t>
      </w:r>
      <w:r w:rsidR="0082030E">
        <w:rPr>
          <w:rFonts w:ascii="Verdana" w:eastAsia="Arial" w:hAnsi="Verdana"/>
          <w:sz w:val="20"/>
        </w:rPr>
        <w:t xml:space="preserve">Stand </w:t>
      </w:r>
      <w:r w:rsidR="006338CF">
        <w:rPr>
          <w:rFonts w:ascii="Verdana" w:eastAsia="Arial" w:hAnsi="Verdana"/>
          <w:sz w:val="20"/>
        </w:rPr>
        <w:t>der Technik</w:t>
      </w:r>
      <w:r w:rsidRPr="00180734">
        <w:rPr>
          <w:rFonts w:ascii="Verdana" w:eastAsia="Arial" w:hAnsi="Verdana"/>
          <w:sz w:val="20"/>
        </w:rPr>
        <w:t xml:space="preserve"> und wird zunehmend unwahrscheinlicher.</w:t>
      </w:r>
    </w:p>
    <w:p w14:paraId="726F4FB7" w14:textId="74697D8F" w:rsidR="00A96EFC" w:rsidRDefault="00A96EFC" w:rsidP="0091363C">
      <w:pPr>
        <w:spacing w:after="120"/>
        <w:rPr>
          <w:rFonts w:ascii="Verdana" w:hAnsi="Verdana"/>
          <w:sz w:val="20"/>
        </w:rPr>
      </w:pPr>
      <w:r w:rsidRPr="00A96EFC">
        <w:rPr>
          <w:rFonts w:ascii="Verdana" w:hAnsi="Verdana"/>
          <w:sz w:val="20"/>
        </w:rPr>
        <w:t xml:space="preserve">Nach einer sortenreinen Trennung kann Betonabbruchmaterial entweder qualitätsgesichert nach den Vorgaben der Ersatzbaustoffverordnung aufbereitet und in technischen Bauwerken eingesetzt oder für die erneute Herstellung von Beton </w:t>
      </w:r>
      <w:r w:rsidR="00D84744">
        <w:rPr>
          <w:rFonts w:ascii="Verdana" w:hAnsi="Verdana"/>
          <w:sz w:val="20"/>
        </w:rPr>
        <w:t>wiederverwendet</w:t>
      </w:r>
      <w:r w:rsidRPr="00A96EFC">
        <w:rPr>
          <w:rFonts w:ascii="Verdana" w:hAnsi="Verdana"/>
          <w:sz w:val="20"/>
        </w:rPr>
        <w:t xml:space="preserve"> werden. Im letzteren Fall liegt der Fokus auf der Prüfung des fertigen Bauprodukts, wie oben </w:t>
      </w:r>
      <w:r w:rsidR="00D84744">
        <w:rPr>
          <w:rFonts w:ascii="Verdana" w:hAnsi="Verdana"/>
          <w:sz w:val="20"/>
        </w:rPr>
        <w:t xml:space="preserve">bereits </w:t>
      </w:r>
      <w:r w:rsidRPr="00A96EFC">
        <w:rPr>
          <w:rFonts w:ascii="Verdana" w:hAnsi="Verdana"/>
          <w:sz w:val="20"/>
        </w:rPr>
        <w:t>dargelegt.</w:t>
      </w:r>
    </w:p>
    <w:p w14:paraId="6CFB97E8" w14:textId="77777777" w:rsidR="00A96EFC" w:rsidRDefault="00A96EFC" w:rsidP="0091363C">
      <w:pPr>
        <w:spacing w:after="120"/>
        <w:rPr>
          <w:rFonts w:ascii="Verdana" w:hAnsi="Verdana"/>
          <w:sz w:val="20"/>
        </w:rPr>
      </w:pPr>
    </w:p>
    <w:p w14:paraId="01A76FA3" w14:textId="77777777" w:rsidR="008F44A4" w:rsidRDefault="008F44A4" w:rsidP="0091363C">
      <w:pPr>
        <w:spacing w:after="120"/>
        <w:rPr>
          <w:rFonts w:ascii="Verdana" w:hAnsi="Verdana"/>
          <w:sz w:val="20"/>
        </w:rPr>
      </w:pPr>
    </w:p>
    <w:p w14:paraId="36907EDE" w14:textId="1407FECA" w:rsidR="0071027B" w:rsidRPr="00931CE0" w:rsidRDefault="00DF3C05" w:rsidP="00AB633C">
      <w:pPr>
        <w:pStyle w:val="berschrift1"/>
        <w:ind w:left="0"/>
        <w:rPr>
          <w:sz w:val="24"/>
          <w:szCs w:val="24"/>
          <w:highlight w:val="yellow"/>
        </w:rPr>
      </w:pPr>
      <w:r w:rsidRPr="00931CE0">
        <w:rPr>
          <w:sz w:val="24"/>
          <w:szCs w:val="24"/>
          <w:highlight w:val="yellow"/>
        </w:rPr>
        <w:lastRenderedPageBreak/>
        <w:t>Regel</w:t>
      </w:r>
      <w:r w:rsidR="00EB58BB" w:rsidRPr="00931CE0">
        <w:rPr>
          <w:sz w:val="24"/>
          <w:szCs w:val="24"/>
          <w:highlight w:val="yellow"/>
        </w:rPr>
        <w:t>ungen in</w:t>
      </w:r>
      <w:r w:rsidR="00AB633C" w:rsidRPr="00931CE0">
        <w:rPr>
          <w:sz w:val="24"/>
          <w:szCs w:val="24"/>
          <w:highlight w:val="yellow"/>
        </w:rPr>
        <w:t xml:space="preserve"> anderen</w:t>
      </w:r>
      <w:r w:rsidR="00EB58BB" w:rsidRPr="00931CE0">
        <w:rPr>
          <w:sz w:val="24"/>
          <w:szCs w:val="24"/>
          <w:highlight w:val="yellow"/>
        </w:rPr>
        <w:t xml:space="preserve"> </w:t>
      </w:r>
      <w:r w:rsidR="00AB633C" w:rsidRPr="00931CE0">
        <w:rPr>
          <w:sz w:val="24"/>
          <w:szCs w:val="24"/>
          <w:highlight w:val="yellow"/>
        </w:rPr>
        <w:t>Ländern</w:t>
      </w:r>
    </w:p>
    <w:p w14:paraId="3A143B32" w14:textId="4AFB46BD" w:rsidR="005C7655" w:rsidRDefault="00AB633C" w:rsidP="0091363C">
      <w:pPr>
        <w:spacing w:after="120"/>
        <w:rPr>
          <w:rFonts w:ascii="Verdana" w:hAnsi="Verdana"/>
          <w:sz w:val="20"/>
        </w:rPr>
      </w:pPr>
      <w:r>
        <w:rPr>
          <w:rFonts w:ascii="Verdana" w:hAnsi="Verdana"/>
          <w:sz w:val="20"/>
        </w:rPr>
        <w:t>?...?</w:t>
      </w:r>
    </w:p>
    <w:p w14:paraId="01EFE5B3" w14:textId="77777777" w:rsidR="005C7655" w:rsidRDefault="005C7655" w:rsidP="0091363C">
      <w:pPr>
        <w:spacing w:after="120"/>
        <w:rPr>
          <w:rFonts w:ascii="Verdana" w:hAnsi="Verdana"/>
          <w:sz w:val="20"/>
        </w:rPr>
      </w:pPr>
    </w:p>
    <w:p w14:paraId="296112A5" w14:textId="4A291A3B" w:rsidR="00464487" w:rsidRPr="00931CE0" w:rsidRDefault="007C4AA3" w:rsidP="0002090F">
      <w:pPr>
        <w:pStyle w:val="berschrift1"/>
        <w:ind w:left="0"/>
        <w:rPr>
          <w:sz w:val="24"/>
          <w:szCs w:val="24"/>
          <w:highlight w:val="yellow"/>
        </w:rPr>
      </w:pPr>
      <w:r w:rsidRPr="00931CE0">
        <w:rPr>
          <w:sz w:val="24"/>
          <w:szCs w:val="24"/>
          <w:highlight w:val="yellow"/>
        </w:rPr>
        <w:t>Fallbeispiele</w:t>
      </w:r>
    </w:p>
    <w:p w14:paraId="5140B255" w14:textId="54551646" w:rsidR="007C4AA3" w:rsidRPr="00AB633C" w:rsidRDefault="007C4AA3" w:rsidP="00AB633C">
      <w:pPr>
        <w:pStyle w:val="berschrift2"/>
        <w:rPr>
          <w:highlight w:val="yellow"/>
        </w:rPr>
      </w:pPr>
      <w:r w:rsidRPr="00AB633C">
        <w:rPr>
          <w:highlight w:val="yellow"/>
        </w:rPr>
        <w:t>Fallbeispiel Stahlwerkschlacke</w:t>
      </w:r>
    </w:p>
    <w:p w14:paraId="0CC0D731" w14:textId="77777777" w:rsidR="00A92CA9" w:rsidRDefault="00AB633C" w:rsidP="00A92CA9">
      <w:pPr>
        <w:pStyle w:val="berschrift2"/>
        <w:rPr>
          <w:highlight w:val="yellow"/>
        </w:rPr>
      </w:pPr>
      <w:r w:rsidRPr="00AB633C">
        <w:rPr>
          <w:highlight w:val="yellow"/>
        </w:rPr>
        <w:t>Fallbeispiel HMVA</w:t>
      </w:r>
    </w:p>
    <w:p w14:paraId="3ACE3E13" w14:textId="0CF5BB83" w:rsidR="00A92CA9" w:rsidRDefault="00A92CA9" w:rsidP="00A92CA9">
      <w:pPr>
        <w:pStyle w:val="berschrift2"/>
        <w:rPr>
          <w:highlight w:val="yellow"/>
        </w:rPr>
      </w:pPr>
      <w:r w:rsidRPr="00A92CA9">
        <w:rPr>
          <w:highlight w:val="yellow"/>
        </w:rPr>
        <w:t xml:space="preserve">Fallbeispiel </w:t>
      </w:r>
      <w:r>
        <w:rPr>
          <w:highlight w:val="yellow"/>
        </w:rPr>
        <w:t>Kupferschlacke</w:t>
      </w:r>
    </w:p>
    <w:p w14:paraId="312389B7" w14:textId="2C4AC686" w:rsidR="00A92CA9" w:rsidRPr="00A92CA9" w:rsidRDefault="00A92CA9" w:rsidP="00A92CA9">
      <w:pPr>
        <w:rPr>
          <w:highlight w:val="yellow"/>
        </w:rPr>
      </w:pPr>
      <w:r>
        <w:rPr>
          <w:highlight w:val="yellow"/>
        </w:rPr>
        <w:t>6.4 …</w:t>
      </w:r>
    </w:p>
    <w:p w14:paraId="1949F51E" w14:textId="15303320" w:rsidR="00AB633C" w:rsidRDefault="00AB633C" w:rsidP="00951DEA">
      <w:pPr>
        <w:spacing w:after="120"/>
        <w:rPr>
          <w:rFonts w:ascii="Verdana" w:hAnsi="Verdana"/>
          <w:sz w:val="20"/>
        </w:rPr>
      </w:pPr>
    </w:p>
    <w:p w14:paraId="02A27044" w14:textId="77777777" w:rsidR="00C70FAA" w:rsidRDefault="00C70FAA" w:rsidP="00951DEA">
      <w:pPr>
        <w:spacing w:after="120"/>
        <w:rPr>
          <w:rFonts w:ascii="Verdana" w:hAnsi="Verdana"/>
          <w:sz w:val="20"/>
        </w:rPr>
      </w:pPr>
    </w:p>
    <w:p w14:paraId="66BB7747" w14:textId="7A91EB71" w:rsidR="00C70FAA" w:rsidRPr="00931CE0" w:rsidRDefault="00B757C1" w:rsidP="00951DEA">
      <w:pPr>
        <w:spacing w:after="120"/>
        <w:rPr>
          <w:rFonts w:ascii="Verdana" w:hAnsi="Verdana"/>
          <w:b/>
          <w:bCs/>
          <w:sz w:val="24"/>
          <w:szCs w:val="24"/>
        </w:rPr>
      </w:pPr>
      <w:r w:rsidRPr="00931CE0">
        <w:rPr>
          <w:rFonts w:ascii="Verdana" w:hAnsi="Verdana"/>
          <w:b/>
          <w:bCs/>
          <w:sz w:val="24"/>
          <w:szCs w:val="24"/>
        </w:rPr>
        <w:t>Literatur</w:t>
      </w:r>
    </w:p>
    <w:p w14:paraId="22245409" w14:textId="77777777" w:rsidR="007B1EB8" w:rsidRPr="00703B71" w:rsidRDefault="007B1EB8" w:rsidP="005D0918">
      <w:pPr>
        <w:spacing w:after="120"/>
        <w:rPr>
          <w:rFonts w:ascii="Verdana" w:hAnsi="Verdana"/>
          <w:sz w:val="20"/>
        </w:rPr>
      </w:pPr>
    </w:p>
    <w:sectPr w:rsidR="007B1EB8" w:rsidRPr="00703B71" w:rsidSect="009D5DA6">
      <w:headerReference w:type="default" r:id="rId8"/>
      <w:footerReference w:type="default" r:id="rId9"/>
      <w:headerReference w:type="first" r:id="rId10"/>
      <w:footerReference w:type="first" r:id="rId11"/>
      <w:endnotePr>
        <w:numFmt w:val="decimal"/>
      </w:endnotePr>
      <w:type w:val="continuous"/>
      <w:pgSz w:w="11907" w:h="16840" w:code="9"/>
      <w:pgMar w:top="1134" w:right="851" w:bottom="680" w:left="1418" w:header="1644" w:footer="0" w:gutter="0"/>
      <w:paperSrc w:first="7" w:other="7"/>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01DAC" w14:textId="77777777" w:rsidR="00920A9D" w:rsidRPr="0025530A" w:rsidRDefault="00920A9D">
      <w:pPr>
        <w:spacing w:after="0" w:line="240" w:lineRule="auto"/>
        <w:rPr>
          <w:sz w:val="2"/>
          <w:szCs w:val="2"/>
        </w:rPr>
      </w:pPr>
    </w:p>
  </w:endnote>
  <w:endnote w:type="continuationSeparator" w:id="0">
    <w:p w14:paraId="661D22AF" w14:textId="77777777" w:rsidR="00920A9D" w:rsidRPr="0025530A" w:rsidRDefault="00920A9D">
      <w:pPr>
        <w:spacing w:after="0" w:line="240" w:lineRule="auto"/>
        <w:rPr>
          <w:sz w:val="2"/>
          <w:szCs w:val="2"/>
        </w:rPr>
      </w:pPr>
    </w:p>
  </w:endnote>
  <w:endnote w:type="continuationNotice" w:id="1">
    <w:p w14:paraId="5544E8B5" w14:textId="77777777" w:rsidR="00920A9D" w:rsidRPr="0025530A" w:rsidRDefault="00920A9D">
      <w:pPr>
        <w:spacing w:after="0" w:line="240" w:lineRule="auto"/>
        <w:rPr>
          <w:sz w:val="2"/>
          <w:szCs w:val="2"/>
        </w:rPr>
      </w:pPr>
    </w:p>
  </w:endnote>
  <w:endnote w:id="2">
    <w:p w14:paraId="3D8ED5CD" w14:textId="63FB0A98" w:rsidR="0031744C" w:rsidRDefault="0031744C">
      <w:pPr>
        <w:pStyle w:val="Endnotentext"/>
      </w:pPr>
      <w:r>
        <w:t>[</w:t>
      </w:r>
      <w:r>
        <w:rPr>
          <w:rStyle w:val="Endnotenzeichen"/>
        </w:rPr>
        <w:endnoteRef/>
      </w:r>
      <w:r>
        <w:t xml:space="preserve">] </w:t>
      </w:r>
      <w:r>
        <w:tab/>
      </w:r>
      <w:r w:rsidR="0082030E" w:rsidRPr="00B67384">
        <w:rPr>
          <w:rFonts w:cs="Arial"/>
        </w:rPr>
        <w:t xml:space="preserve">Ersatzbaustoffverordnung vom 9. Juli 2021 (BGBl. I S. 2598), </w:t>
      </w:r>
      <w:r w:rsidR="0082030E">
        <w:rPr>
          <w:rFonts w:cs="Arial"/>
        </w:rPr>
        <w:t>zuletzt geändert</w:t>
      </w:r>
      <w:r w:rsidR="0082030E" w:rsidRPr="00B67384">
        <w:rPr>
          <w:rFonts w:cs="Arial"/>
        </w:rPr>
        <w:t xml:space="preserve"> durch Artikel 1 der Verordnung vom 13. Juli 2023</w:t>
      </w:r>
      <w:r w:rsidR="0082030E">
        <w:rPr>
          <w:rFonts w:cs="Arial"/>
        </w:rPr>
        <w:t xml:space="preserve"> </w:t>
      </w:r>
      <w:r w:rsidR="0082030E" w:rsidRPr="00B67384">
        <w:rPr>
          <w:rFonts w:cs="Arial"/>
        </w:rPr>
        <w:t>(BGBl. Nr. 186)</w:t>
      </w:r>
    </w:p>
  </w:endnote>
  <w:endnote w:id="3">
    <w:p w14:paraId="266DDD60" w14:textId="3DFFBDC6" w:rsidR="0031744C" w:rsidRDefault="00F26104">
      <w:pPr>
        <w:pStyle w:val="Endnotentext"/>
      </w:pPr>
      <w:r>
        <w:t>[</w:t>
      </w:r>
      <w:r w:rsidR="0031744C">
        <w:rPr>
          <w:rStyle w:val="Endnotenzeichen"/>
        </w:rPr>
        <w:endnoteRef/>
      </w:r>
      <w:r>
        <w:t>]</w:t>
      </w:r>
      <w:r w:rsidR="0031744C">
        <w:t xml:space="preserve"> </w:t>
      </w:r>
      <w:r w:rsidR="0031744C">
        <w:tab/>
      </w:r>
      <w:r w:rsidRPr="00F26104">
        <w:t>Deutsches Institut für Bautechnik DIBt: Muster-Verwaltungsvorschrift Technische Baubestimmungen (MVV TB) 202</w:t>
      </w:r>
      <w:r w:rsidR="00B757C1">
        <w:t>4</w:t>
      </w:r>
      <w:r w:rsidRPr="00F26104">
        <w:t xml:space="preserve">/1, </w:t>
      </w:r>
      <w:r w:rsidR="00B757C1">
        <w:t>28</w:t>
      </w:r>
      <w:r w:rsidRPr="00F26104">
        <w:t>.0</w:t>
      </w:r>
      <w:r w:rsidR="00B757C1">
        <w:t>8</w:t>
      </w:r>
      <w:r w:rsidRPr="00F26104">
        <w:t>.202</w:t>
      </w:r>
      <w:r w:rsidR="00B757C1">
        <w:t>4</w:t>
      </w:r>
    </w:p>
  </w:endnote>
  <w:endnote w:id="4">
    <w:p w14:paraId="3C114166" w14:textId="75D17AD0" w:rsidR="0047443A" w:rsidRDefault="0086547A">
      <w:pPr>
        <w:pStyle w:val="Endnotentext"/>
      </w:pPr>
      <w:r>
        <w:t>[</w:t>
      </w:r>
      <w:r w:rsidR="0047443A">
        <w:rPr>
          <w:rStyle w:val="Endnotenzeichen"/>
        </w:rPr>
        <w:endnoteRef/>
      </w:r>
      <w:r>
        <w:t>]</w:t>
      </w:r>
      <w:r w:rsidR="0047443A">
        <w:t xml:space="preserve"> </w:t>
      </w:r>
      <w:r w:rsidR="0047443A">
        <w:tab/>
      </w:r>
      <w:r w:rsidR="0082030E">
        <w:t>Bund/</w:t>
      </w:r>
      <w:r w:rsidRPr="006A6127">
        <w:t>Länder</w:t>
      </w:r>
      <w:r w:rsidR="0082030E">
        <w:t>-A</w:t>
      </w:r>
      <w:r w:rsidRPr="006A6127">
        <w:t>rbeitsgemeinschaft Abfall: Mitteilung 20 – Anforderungen an die stoffliche Verwertung von mineralischen Reststoffen/Abfällen – Technische Regeln, Stand 6. November 2003</w:t>
      </w:r>
    </w:p>
  </w:endnote>
  <w:endnote w:id="5">
    <w:p w14:paraId="70741AAA" w14:textId="0061754D" w:rsidR="009C4408" w:rsidRPr="003D1AA6" w:rsidRDefault="009C4408" w:rsidP="009C4408">
      <w:pPr>
        <w:pStyle w:val="Endnotentext"/>
        <w:ind w:left="728" w:hanging="714"/>
        <w:rPr>
          <w:rFonts w:ascii="Verdana" w:eastAsia="Verdana" w:hAnsi="Verdana"/>
          <w:sz w:val="20"/>
        </w:rPr>
      </w:pPr>
      <w:r w:rsidRPr="006A6127">
        <w:t>[</w:t>
      </w:r>
      <w:r w:rsidRPr="006A6127">
        <w:rPr>
          <w:rStyle w:val="Endnotenzeichen"/>
          <w:rFonts w:ascii="Verdana" w:hAnsi="Verdana"/>
          <w:sz w:val="20"/>
        </w:rPr>
        <w:endnoteRef/>
      </w:r>
      <w:r w:rsidRPr="006A6127">
        <w:t xml:space="preserve">] </w:t>
      </w:r>
      <w:r w:rsidRPr="006A6127">
        <w:tab/>
      </w:r>
      <w:r w:rsidR="0082030E">
        <w:t>Bund/</w:t>
      </w:r>
      <w:r w:rsidR="0082030E" w:rsidRPr="006A6127">
        <w:t>Länder</w:t>
      </w:r>
      <w:r w:rsidR="0082030E">
        <w:t>-A</w:t>
      </w:r>
      <w:r w:rsidR="0082030E" w:rsidRPr="006A6127">
        <w:t>rbeitsgemeinschaft Abfall</w:t>
      </w:r>
      <w:r w:rsidRPr="003D1AA6">
        <w:rPr>
          <w:rFonts w:ascii="Verdana" w:eastAsia="Verdana" w:hAnsi="Verdana"/>
          <w:sz w:val="20"/>
        </w:rPr>
        <w:t>: Anforderungen an die stoffliche Verwertung von mineralischen Abfällen - Teil II: Technische Regeln für die Verwertung 1.2 Bodenmaterial (TR Boden), Stand: 05.11.2004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E1A99" w14:textId="77777777" w:rsidR="00911BC0" w:rsidRDefault="00911BC0">
    <w:pPr>
      <w:pStyle w:val="Fuzeile"/>
      <w:tabs>
        <w:tab w:val="clear" w:pos="9071"/>
        <w:tab w:val="right" w:pos="9639"/>
      </w:tabs>
      <w:jc w:val="right"/>
      <w:rPr>
        <w:rFonts w:ascii="Arial" w:hAnsi="Arial"/>
      </w:rPr>
    </w:pPr>
  </w:p>
  <w:p w14:paraId="427F40B0" w14:textId="77777777" w:rsidR="00911BC0" w:rsidRDefault="00911BC0">
    <w:pPr>
      <w:pStyle w:val="Fuzeile"/>
      <w:tabs>
        <w:tab w:val="clear" w:pos="9071"/>
        <w:tab w:val="right" w:pos="9639"/>
      </w:tabs>
      <w:jc w:val="right"/>
      <w:rPr>
        <w:rFonts w:ascii="Arial" w:hAnsi="Arial"/>
      </w:rPr>
    </w:pPr>
    <w:r>
      <w:rPr>
        <w:rFonts w:ascii="Arial" w:hAnsi="Arial"/>
      </w:rPr>
      <w:fldChar w:fldCharType="begin"/>
    </w:r>
    <w:r>
      <w:rPr>
        <w:rFonts w:ascii="Arial" w:hAnsi="Arial"/>
      </w:rPr>
      <w:instrText>PAGE</w:instrText>
    </w:r>
    <w:r>
      <w:rPr>
        <w:rFonts w:ascii="Arial" w:hAnsi="Arial"/>
      </w:rPr>
      <w:fldChar w:fldCharType="separate"/>
    </w:r>
    <w:r w:rsidR="00BB75CA">
      <w:rPr>
        <w:rFonts w:ascii="Arial" w:hAnsi="Arial"/>
        <w:noProof/>
      </w:rPr>
      <w:t>5</w:t>
    </w:r>
    <w:r>
      <w:rPr>
        <w:rFonts w:ascii="Arial" w:hAnsi="Arial"/>
      </w:rPr>
      <w:fldChar w:fldCharType="end"/>
    </w:r>
  </w:p>
  <w:p w14:paraId="26E1895D" w14:textId="77777777" w:rsidR="00911BC0" w:rsidRDefault="00911BC0">
    <w:pPr>
      <w:pStyle w:val="Fuzeile"/>
      <w:tabs>
        <w:tab w:val="clear" w:pos="9071"/>
        <w:tab w:val="right" w:pos="9639"/>
      </w:tabs>
      <w:jc w:val="right"/>
      <w:rPr>
        <w:rFonts w:ascii="Arial" w:hAnsi="Arial"/>
      </w:rPr>
    </w:pPr>
  </w:p>
  <w:p w14:paraId="355F7E11" w14:textId="77777777" w:rsidR="00911BC0" w:rsidRDefault="00911BC0">
    <w:pPr>
      <w:pStyle w:val="Fuzeile"/>
      <w:tabs>
        <w:tab w:val="clear" w:pos="9071"/>
        <w:tab w:val="right" w:pos="9639"/>
      </w:tabs>
      <w:jc w:val="right"/>
      <w:rPr>
        <w:rFonts w:ascii="Arial" w:hAnsi="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013BC" w14:textId="77777777" w:rsidR="00911BC0" w:rsidRDefault="00911BC0">
    <w:pPr>
      <w:pStyle w:val="Fuzeile"/>
      <w:tabs>
        <w:tab w:val="clear" w:pos="9071"/>
        <w:tab w:val="right" w:pos="9781"/>
      </w:tabs>
      <w:rPr>
        <w:rFonts w:ascii="Arial" w:hAnsi="Arial"/>
      </w:rPr>
    </w:pPr>
  </w:p>
  <w:p w14:paraId="5B41F886" w14:textId="77777777" w:rsidR="00911BC0" w:rsidRDefault="00911BC0">
    <w:pPr>
      <w:pStyle w:val="Fuzeile"/>
      <w:rPr>
        <w:rFonts w:ascii="Arial" w:hAnsi="Arial"/>
        <w:sz w:val="20"/>
      </w:rPr>
    </w:pPr>
  </w:p>
  <w:p w14:paraId="0CE815BC" w14:textId="77777777" w:rsidR="00911BC0" w:rsidRDefault="00911BC0">
    <w:pPr>
      <w:pStyle w:val="Fuzeile"/>
      <w:rPr>
        <w:rFonts w:ascii="Arial" w:hAnsi="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442FE" w14:textId="77777777" w:rsidR="00920A9D" w:rsidRDefault="00920A9D">
      <w:pPr>
        <w:spacing w:after="0" w:line="240" w:lineRule="auto"/>
      </w:pPr>
      <w:r>
        <w:separator/>
      </w:r>
    </w:p>
  </w:footnote>
  <w:footnote w:type="continuationSeparator" w:id="0">
    <w:p w14:paraId="6334C11B" w14:textId="77777777" w:rsidR="00920A9D" w:rsidRDefault="00920A9D">
      <w:pPr>
        <w:spacing w:after="0" w:line="240" w:lineRule="auto"/>
      </w:pPr>
      <w:r>
        <w:continuationSeparator/>
      </w:r>
    </w:p>
  </w:footnote>
  <w:footnote w:type="continuationNotice" w:id="1">
    <w:p w14:paraId="4CE3D5CA" w14:textId="77777777" w:rsidR="00920A9D" w:rsidRDefault="00920A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B058D" w14:textId="0D70FB71" w:rsidR="00911BC0" w:rsidRDefault="00163DED" w:rsidP="004B1CB8">
    <w:pPr>
      <w:pStyle w:val="Kopfzeile"/>
      <w:pBdr>
        <w:bottom w:val="single" w:sz="6" w:space="1" w:color="auto"/>
      </w:pBdr>
      <w:tabs>
        <w:tab w:val="right" w:pos="9639"/>
      </w:tabs>
      <w:jc w:val="right"/>
      <w:rPr>
        <w:rFonts w:ascii="Arial" w:hAnsi="Arial"/>
        <w:sz w:val="16"/>
      </w:rPr>
    </w:pPr>
    <w:r w:rsidRPr="001A4E94">
      <w:rPr>
        <w:rFonts w:ascii="Arial" w:hAnsi="Arial"/>
        <w:noProof/>
      </w:rPr>
      <mc:AlternateContent>
        <mc:Choice Requires="wps">
          <w:drawing>
            <wp:anchor distT="45720" distB="45720" distL="114300" distR="114300" simplePos="0" relativeHeight="251676672" behindDoc="0" locked="0" layoutInCell="1" allowOverlap="1" wp14:anchorId="426ADC51" wp14:editId="59A7B9AE">
              <wp:simplePos x="0" y="0"/>
              <wp:positionH relativeFrom="column">
                <wp:posOffset>0</wp:posOffset>
              </wp:positionH>
              <wp:positionV relativeFrom="paragraph">
                <wp:posOffset>-161649</wp:posOffset>
              </wp:positionV>
              <wp:extent cx="1019175" cy="581025"/>
              <wp:effectExtent l="0" t="0" r="28575" b="28575"/>
              <wp:wrapNone/>
              <wp:docPr id="110865440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581025"/>
                      </a:xfrm>
                      <a:prstGeom prst="roundRect">
                        <a:avLst/>
                      </a:prstGeom>
                      <a:solidFill>
                        <a:srgbClr val="FFFFFF"/>
                      </a:solidFill>
                      <a:ln w="9525">
                        <a:solidFill>
                          <a:srgbClr val="000000"/>
                        </a:solidFill>
                        <a:miter lim="800000"/>
                        <a:headEnd/>
                        <a:tailEnd/>
                      </a:ln>
                    </wps:spPr>
                    <wps:txbx>
                      <w:txbxContent>
                        <w:p w14:paraId="25C33B29" w14:textId="77777777" w:rsidR="00163DED" w:rsidRDefault="00163DED" w:rsidP="00163DED">
                          <w:r>
                            <w:t>Platzhalter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26ADC51" id="Textfeld 2" o:spid="_x0000_s1026" style="position:absolute;left:0;text-align:left;margin-left:0;margin-top:-12.75pt;width:80.25pt;height:45.7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">
              <v:stroke joinstyle="miter"/>
              <v:textbox>
                <w:txbxContent>
                  <w:p w14:paraId="25C33B29" w14:textId="77777777" w:rsidR="00163DED" w:rsidRDefault="00163DED" w:rsidP="00163DED">
                    <w:r>
                      <w:t>Platzhalter</w:t>
                    </w:r>
                  </w:p>
                </w:txbxContent>
              </v:textbox>
            </v:roundrect>
          </w:pict>
        </mc:Fallback>
      </mc:AlternateContent>
    </w:r>
    <w:r>
      <w:rPr>
        <w:rFonts w:ascii="Arial" w:hAnsi="Arial"/>
        <w:noProof/>
      </w:rPr>
      <w:drawing>
        <wp:anchor distT="0" distB="0" distL="114300" distR="114300" simplePos="0" relativeHeight="251674624" behindDoc="0" locked="0" layoutInCell="1" allowOverlap="1" wp14:anchorId="272B384B" wp14:editId="7E2B7DE1">
          <wp:simplePos x="0" y="0"/>
          <wp:positionH relativeFrom="column">
            <wp:posOffset>767108</wp:posOffset>
          </wp:positionH>
          <wp:positionV relativeFrom="paragraph">
            <wp:posOffset>-688506</wp:posOffset>
          </wp:positionV>
          <wp:extent cx="1799590" cy="409575"/>
          <wp:effectExtent l="0" t="0" r="0" b="9525"/>
          <wp:wrapNone/>
          <wp:docPr id="775517576" name="Grafik 3" descr="Ein Bild, das Text, Visitenkarte, Schrif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517576" name="Grafik 3" descr="Ein Bild, das Text, Visitenkarte, Schrift, Logo enthält.&#10;&#10;Automatisch generierte Beschreibung"/>
                  <pic:cNvPicPr>
                    <a:picLocks noChangeAspect="1" noChangeArrowheads="1"/>
                  </pic:cNvPicPr>
                </pic:nvPicPr>
                <pic:blipFill rotWithShape="1">
                  <a:blip r:embed="rId1">
                    <a:extLst>
                      <a:ext uri="{28A0092B-C50C-407E-A947-70E740481C1C}">
                        <a14:useLocalDpi xmlns:a14="http://schemas.microsoft.com/office/drawing/2010/main" val="0"/>
                      </a:ext>
                    </a:extLst>
                  </a:blip>
                  <a:srcRect t="29981" b="28424"/>
                  <a:stretch/>
                </pic:blipFill>
                <pic:spPr bwMode="auto">
                  <a:xfrm>
                    <a:off x="0" y="0"/>
                    <a:ext cx="1799590" cy="409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noProof/>
      </w:rPr>
      <w:drawing>
        <wp:anchor distT="0" distB="0" distL="114300" distR="114300" simplePos="0" relativeHeight="251672576" behindDoc="0" locked="0" layoutInCell="1" allowOverlap="1" wp14:anchorId="378208C9" wp14:editId="4403C950">
          <wp:simplePos x="0" y="0"/>
          <wp:positionH relativeFrom="column">
            <wp:posOffset>1111250</wp:posOffset>
          </wp:positionH>
          <wp:positionV relativeFrom="paragraph">
            <wp:posOffset>-280891</wp:posOffset>
          </wp:positionV>
          <wp:extent cx="1453515" cy="752475"/>
          <wp:effectExtent l="0" t="0" r="0" b="9525"/>
          <wp:wrapNone/>
          <wp:docPr id="1723290217" name="Grafik 4" descr="Ein Bild, das Design, weiß,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290217" name="Grafik 4" descr="Ein Bild, das Design, weiß, Schrift enthält.&#10;&#10;Automatisch generierte Beschreibung"/>
                  <pic:cNvPicPr>
                    <a:picLocks noChangeAspect="1" noChangeArrowheads="1"/>
                  </pic:cNvPicPr>
                </pic:nvPicPr>
                <pic:blipFill rotWithShape="1">
                  <a:blip r:embed="rId2">
                    <a:extLst>
                      <a:ext uri="{28A0092B-C50C-407E-A947-70E740481C1C}">
                        <a14:useLocalDpi xmlns:a14="http://schemas.microsoft.com/office/drawing/2010/main" val="0"/>
                      </a:ext>
                    </a:extLst>
                  </a:blip>
                  <a:srcRect l="31726" r="29783"/>
                  <a:stretch/>
                </pic:blipFill>
                <pic:spPr bwMode="auto">
                  <a:xfrm>
                    <a:off x="0" y="0"/>
                    <a:ext cx="1453515" cy="752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156B5">
      <w:rPr>
        <w:rFonts w:ascii="Arial" w:hAnsi="Arial"/>
        <w:noProof/>
      </w:rPr>
      <w:drawing>
        <wp:anchor distT="0" distB="0" distL="114300" distR="114300" simplePos="0" relativeHeight="251670528" behindDoc="0" locked="0" layoutInCell="1" allowOverlap="1" wp14:anchorId="6F8C6047" wp14:editId="2EAF0E01">
          <wp:simplePos x="0" y="0"/>
          <wp:positionH relativeFrom="column">
            <wp:posOffset>2631882</wp:posOffset>
          </wp:positionH>
          <wp:positionV relativeFrom="paragraph">
            <wp:posOffset>-627380</wp:posOffset>
          </wp:positionV>
          <wp:extent cx="782320" cy="1209675"/>
          <wp:effectExtent l="0" t="0" r="0" b="0"/>
          <wp:wrapNone/>
          <wp:docPr id="19215054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2320"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rPr>
      <w:drawing>
        <wp:anchor distT="0" distB="0" distL="114300" distR="114300" simplePos="0" relativeHeight="251668480" behindDoc="0" locked="0" layoutInCell="1" allowOverlap="1" wp14:anchorId="48B4FDF4" wp14:editId="17C8769D">
          <wp:simplePos x="0" y="0"/>
          <wp:positionH relativeFrom="column">
            <wp:posOffset>3291427</wp:posOffset>
          </wp:positionH>
          <wp:positionV relativeFrom="paragraph">
            <wp:posOffset>-701620</wp:posOffset>
          </wp:positionV>
          <wp:extent cx="1438275" cy="749198"/>
          <wp:effectExtent l="0" t="0" r="0" b="0"/>
          <wp:wrapNone/>
          <wp:docPr id="582435985" name="Grafik 6" descr="Ein Bild, das Logo, Grafiken, Kreis,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435985" name="Grafik 6" descr="Ein Bild, das Logo, Grafiken, Kreis, Schrift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38275" cy="749198"/>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noProof/>
      </w:rPr>
      <w:drawing>
        <wp:anchor distT="0" distB="0" distL="114300" distR="114300" simplePos="0" relativeHeight="251666432" behindDoc="0" locked="0" layoutInCell="1" allowOverlap="1" wp14:anchorId="32F88F5A" wp14:editId="05901B22">
          <wp:simplePos x="0" y="0"/>
          <wp:positionH relativeFrom="column">
            <wp:posOffset>4728679</wp:posOffset>
          </wp:positionH>
          <wp:positionV relativeFrom="paragraph">
            <wp:posOffset>-773430</wp:posOffset>
          </wp:positionV>
          <wp:extent cx="1238250" cy="771525"/>
          <wp:effectExtent l="0" t="0" r="0" b="9525"/>
          <wp:wrapNone/>
          <wp:docPr id="422924770" name="Grafik 5"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924770" name="Grafik 5" descr="Ein Bild, das Schrift, Text, Grafiken, Logo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0" cy="771525"/>
                  </a:xfrm>
                  <a:prstGeom prst="rect">
                    <a:avLst/>
                  </a:prstGeom>
                  <a:noFill/>
                </pic:spPr>
              </pic:pic>
            </a:graphicData>
          </a:graphic>
          <wp14:sizeRelH relativeFrom="page">
            <wp14:pctWidth>0</wp14:pctWidth>
          </wp14:sizeRelH>
          <wp14:sizeRelV relativeFrom="page">
            <wp14:pctHeight>0</wp14:pctHeight>
          </wp14:sizeRelV>
        </wp:anchor>
      </w:drawing>
    </w:r>
    <w:r w:rsidR="00633075">
      <w:rPr>
        <w:rFonts w:ascii="Arial" w:hAnsi="Arial"/>
        <w:noProof/>
      </w:rPr>
      <w:drawing>
        <wp:inline distT="0" distB="0" distL="0" distR="0" wp14:anchorId="6032B845" wp14:editId="0D1F1670">
          <wp:extent cx="2755129" cy="583096"/>
          <wp:effectExtent l="0" t="0" r="7620" b="762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t="25763" b="28162"/>
                  <a:stretch>
                    <a:fillRect/>
                  </a:stretch>
                </pic:blipFill>
                <pic:spPr bwMode="auto">
                  <a:xfrm>
                    <a:off x="0" y="0"/>
                    <a:ext cx="2779678" cy="588291"/>
                  </a:xfrm>
                  <a:prstGeom prst="rect">
                    <a:avLst/>
                  </a:prstGeom>
                  <a:noFill/>
                  <a:ln>
                    <a:noFill/>
                  </a:ln>
                </pic:spPr>
              </pic:pic>
            </a:graphicData>
          </a:graphic>
        </wp:inline>
      </w:drawing>
    </w:r>
  </w:p>
  <w:p w14:paraId="6CE0BEDF" w14:textId="77777777" w:rsidR="00911BC0" w:rsidRDefault="00911BC0">
    <w:pPr>
      <w:pStyle w:val="Kopfzeile"/>
      <w:pBdr>
        <w:bottom w:val="single" w:sz="6" w:space="1" w:color="auto"/>
      </w:pBdr>
      <w:tabs>
        <w:tab w:val="right" w:pos="9639"/>
      </w:tabs>
      <w:rPr>
        <w:rFonts w:ascii="Arial" w:hAnsi="Arial"/>
        <w:sz w:val="16"/>
      </w:rPr>
    </w:pPr>
  </w:p>
  <w:p w14:paraId="05076A40" w14:textId="77777777" w:rsidR="00911BC0" w:rsidRDefault="00911BC0">
    <w:pPr>
      <w:pStyle w:val="Kopfzeile"/>
      <w:tabs>
        <w:tab w:val="right" w:pos="9639"/>
      </w:tabs>
      <w:rPr>
        <w:rFonts w:ascii="Arial" w:hAnsi="Arial"/>
        <w:sz w:val="16"/>
      </w:rPr>
    </w:pPr>
  </w:p>
  <w:p w14:paraId="0883C8D5" w14:textId="77777777" w:rsidR="00911BC0" w:rsidRDefault="00911BC0">
    <w:pPr>
      <w:pStyle w:val="Kopfzeile"/>
      <w:tabs>
        <w:tab w:val="right" w:pos="9639"/>
      </w:tabs>
      <w:rPr>
        <w:rFonts w:ascii="Arial" w:hAnsi="Arial"/>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E3EAA" w14:textId="77622965" w:rsidR="00911BC0" w:rsidRDefault="001A4E94">
    <w:pPr>
      <w:pStyle w:val="Kopfzeile"/>
      <w:pBdr>
        <w:bottom w:val="single" w:sz="6" w:space="1" w:color="auto"/>
      </w:pBdr>
      <w:tabs>
        <w:tab w:val="clear" w:pos="9071"/>
        <w:tab w:val="right" w:pos="9781"/>
      </w:tabs>
      <w:jc w:val="right"/>
      <w:rPr>
        <w:rFonts w:ascii="Arial" w:hAnsi="Arial"/>
      </w:rPr>
    </w:pPr>
    <w:r w:rsidRPr="001A4E94">
      <w:rPr>
        <w:rFonts w:ascii="Arial" w:hAnsi="Arial"/>
        <w:noProof/>
      </w:rPr>
      <mc:AlternateContent>
        <mc:Choice Requires="wps">
          <w:drawing>
            <wp:anchor distT="45720" distB="45720" distL="114300" distR="114300" simplePos="0" relativeHeight="251664384" behindDoc="0" locked="0" layoutInCell="1" allowOverlap="1" wp14:anchorId="0BDB0979" wp14:editId="5A94512E">
              <wp:simplePos x="0" y="0"/>
              <wp:positionH relativeFrom="column">
                <wp:posOffset>-405130</wp:posOffset>
              </wp:positionH>
              <wp:positionV relativeFrom="paragraph">
                <wp:posOffset>-548640</wp:posOffset>
              </wp:positionV>
              <wp:extent cx="1019175" cy="581025"/>
              <wp:effectExtent l="0" t="0" r="28575" b="2857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581025"/>
                      </a:xfrm>
                      <a:prstGeom prst="roundRect">
                        <a:avLst/>
                      </a:prstGeom>
                      <a:solidFill>
                        <a:srgbClr val="FFFFFF"/>
                      </a:solidFill>
                      <a:ln w="9525">
                        <a:solidFill>
                          <a:srgbClr val="000000"/>
                        </a:solidFill>
                        <a:miter lim="800000"/>
                        <a:headEnd/>
                        <a:tailEnd/>
                      </a:ln>
                    </wps:spPr>
                    <wps:txbx>
                      <w:txbxContent>
                        <w:p w14:paraId="3C47C4A0" w14:textId="4E2C816D" w:rsidR="001A4E94" w:rsidRDefault="001A4E94">
                          <w:r>
                            <w:t>Platzhalter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BDB0979" id="_x0000_s1027" style="position:absolute;left:0;text-align:left;margin-left:-31.9pt;margin-top:-43.2pt;width:80.25pt;height:45.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">
              <v:stroke joinstyle="miter"/>
              <v:textbox>
                <w:txbxContent>
                  <w:p w14:paraId="3C47C4A0" w14:textId="4E2C816D" w:rsidR="001A4E94" w:rsidRDefault="001A4E94">
                    <w:r>
                      <w:t>Platzhalter</w:t>
                    </w:r>
                  </w:p>
                </w:txbxContent>
              </v:textbox>
            </v:roundrect>
          </w:pict>
        </mc:Fallback>
      </mc:AlternateContent>
    </w:r>
    <w:r w:rsidR="006B7A80">
      <w:rPr>
        <w:rFonts w:ascii="Arial" w:hAnsi="Arial"/>
        <w:noProof/>
      </w:rPr>
      <w:drawing>
        <wp:anchor distT="0" distB="0" distL="114300" distR="114300" simplePos="0" relativeHeight="251662336" behindDoc="0" locked="0" layoutInCell="1" allowOverlap="1" wp14:anchorId="1EA6D033" wp14:editId="1444DEBE">
          <wp:simplePos x="0" y="0"/>
          <wp:positionH relativeFrom="column">
            <wp:posOffset>4715510</wp:posOffset>
          </wp:positionH>
          <wp:positionV relativeFrom="paragraph">
            <wp:posOffset>-847090</wp:posOffset>
          </wp:positionV>
          <wp:extent cx="1238250" cy="771525"/>
          <wp:effectExtent l="0" t="0" r="0" b="9525"/>
          <wp:wrapNone/>
          <wp:docPr id="207516089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771525"/>
                  </a:xfrm>
                  <a:prstGeom prst="rect">
                    <a:avLst/>
                  </a:prstGeom>
                  <a:noFill/>
                </pic:spPr>
              </pic:pic>
            </a:graphicData>
          </a:graphic>
          <wp14:sizeRelH relativeFrom="page">
            <wp14:pctWidth>0</wp14:pctWidth>
          </wp14:sizeRelH>
          <wp14:sizeRelV relativeFrom="page">
            <wp14:pctHeight>0</wp14:pctHeight>
          </wp14:sizeRelV>
        </wp:anchor>
      </w:drawing>
    </w:r>
    <w:r w:rsidR="006B7A80">
      <w:rPr>
        <w:rFonts w:ascii="Arial" w:hAnsi="Arial"/>
        <w:noProof/>
      </w:rPr>
      <w:drawing>
        <wp:anchor distT="0" distB="0" distL="114300" distR="114300" simplePos="0" relativeHeight="251657215" behindDoc="0" locked="0" layoutInCell="1" allowOverlap="1" wp14:anchorId="17C29D2F" wp14:editId="4FC1F3DE">
          <wp:simplePos x="0" y="0"/>
          <wp:positionH relativeFrom="column">
            <wp:posOffset>3405505</wp:posOffset>
          </wp:positionH>
          <wp:positionV relativeFrom="paragraph">
            <wp:posOffset>-821055</wp:posOffset>
          </wp:positionV>
          <wp:extent cx="1438275" cy="749198"/>
          <wp:effectExtent l="0" t="0" r="0" b="0"/>
          <wp:wrapNone/>
          <wp:docPr id="13519379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8275" cy="749198"/>
                  </a:xfrm>
                  <a:prstGeom prst="rect">
                    <a:avLst/>
                  </a:prstGeom>
                  <a:noFill/>
                </pic:spPr>
              </pic:pic>
            </a:graphicData>
          </a:graphic>
          <wp14:sizeRelH relativeFrom="page">
            <wp14:pctWidth>0</wp14:pctWidth>
          </wp14:sizeRelH>
          <wp14:sizeRelV relativeFrom="page">
            <wp14:pctHeight>0</wp14:pctHeight>
          </wp14:sizeRelV>
        </wp:anchor>
      </w:drawing>
    </w:r>
    <w:r w:rsidR="006B7A80">
      <w:rPr>
        <w:rFonts w:ascii="Arial" w:hAnsi="Arial"/>
        <w:noProof/>
      </w:rPr>
      <w:drawing>
        <wp:anchor distT="0" distB="0" distL="114300" distR="114300" simplePos="0" relativeHeight="251661312" behindDoc="0" locked="0" layoutInCell="1" allowOverlap="1" wp14:anchorId="4E1B063F" wp14:editId="05F99359">
          <wp:simplePos x="0" y="0"/>
          <wp:positionH relativeFrom="column">
            <wp:posOffset>1061720</wp:posOffset>
          </wp:positionH>
          <wp:positionV relativeFrom="paragraph">
            <wp:posOffset>-501015</wp:posOffset>
          </wp:positionV>
          <wp:extent cx="1453515" cy="752475"/>
          <wp:effectExtent l="0" t="0" r="0" b="9525"/>
          <wp:wrapTopAndBottom/>
          <wp:docPr id="18936036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
                    <a:extLst>
                      <a:ext uri="{28A0092B-C50C-407E-A947-70E740481C1C}">
                        <a14:useLocalDpi xmlns:a14="http://schemas.microsoft.com/office/drawing/2010/main" val="0"/>
                      </a:ext>
                    </a:extLst>
                  </a:blip>
                  <a:srcRect l="31726" r="29783"/>
                  <a:stretch/>
                </pic:blipFill>
                <pic:spPr bwMode="auto">
                  <a:xfrm>
                    <a:off x="0" y="0"/>
                    <a:ext cx="1453515" cy="752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B7A80">
      <w:rPr>
        <w:rFonts w:ascii="Arial" w:hAnsi="Arial"/>
        <w:noProof/>
      </w:rPr>
      <w:drawing>
        <wp:anchor distT="0" distB="0" distL="114300" distR="114300" simplePos="0" relativeHeight="251659264" behindDoc="0" locked="0" layoutInCell="1" allowOverlap="1" wp14:anchorId="14EFDD5D" wp14:editId="514CCB02">
          <wp:simplePos x="0" y="0"/>
          <wp:positionH relativeFrom="column">
            <wp:posOffset>3402330</wp:posOffset>
          </wp:positionH>
          <wp:positionV relativeFrom="paragraph">
            <wp:posOffset>-123825</wp:posOffset>
          </wp:positionV>
          <wp:extent cx="2880360" cy="61722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t="25763" b="28162"/>
                  <a:stretch>
                    <a:fillRect/>
                  </a:stretch>
                </pic:blipFill>
                <pic:spPr bwMode="auto">
                  <a:xfrm>
                    <a:off x="0" y="0"/>
                    <a:ext cx="2880360" cy="617220"/>
                  </a:xfrm>
                  <a:prstGeom prst="rect">
                    <a:avLst/>
                  </a:prstGeom>
                  <a:noFill/>
                  <a:ln>
                    <a:noFill/>
                  </a:ln>
                </pic:spPr>
              </pic:pic>
            </a:graphicData>
          </a:graphic>
          <wp14:sizeRelH relativeFrom="page">
            <wp14:pctWidth>0</wp14:pctWidth>
          </wp14:sizeRelH>
          <wp14:sizeRelV relativeFrom="page">
            <wp14:pctHeight>0</wp14:pctHeight>
          </wp14:sizeRelV>
        </wp:anchor>
      </w:drawing>
    </w:r>
    <w:r w:rsidR="006B7A80">
      <w:rPr>
        <w:rFonts w:ascii="Arial" w:hAnsi="Arial"/>
        <w:noProof/>
      </w:rPr>
      <w:drawing>
        <wp:anchor distT="0" distB="0" distL="114300" distR="114300" simplePos="0" relativeHeight="251658240" behindDoc="0" locked="0" layoutInCell="1" allowOverlap="1" wp14:anchorId="3550C153" wp14:editId="358AE5E4">
          <wp:simplePos x="0" y="0"/>
          <wp:positionH relativeFrom="column">
            <wp:posOffset>900430</wp:posOffset>
          </wp:positionH>
          <wp:positionV relativeFrom="paragraph">
            <wp:posOffset>-847725</wp:posOffset>
          </wp:positionV>
          <wp:extent cx="1799590" cy="409575"/>
          <wp:effectExtent l="0" t="0" r="0" b="9525"/>
          <wp:wrapNone/>
          <wp:docPr id="22495198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t="29981" b="28424"/>
                  <a:stretch/>
                </pic:blipFill>
                <pic:spPr bwMode="auto">
                  <a:xfrm>
                    <a:off x="0" y="0"/>
                    <a:ext cx="1799590" cy="409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B7A80" w:rsidRPr="00E156B5">
      <w:rPr>
        <w:rFonts w:ascii="Arial" w:hAnsi="Arial"/>
        <w:noProof/>
      </w:rPr>
      <w:drawing>
        <wp:anchor distT="0" distB="0" distL="114300" distR="114300" simplePos="0" relativeHeight="251660288" behindDoc="0" locked="0" layoutInCell="1" allowOverlap="1" wp14:anchorId="00D9C7CF" wp14:editId="129C8031">
          <wp:simplePos x="0" y="0"/>
          <wp:positionH relativeFrom="column">
            <wp:posOffset>2621280</wp:posOffset>
          </wp:positionH>
          <wp:positionV relativeFrom="paragraph">
            <wp:posOffset>-827405</wp:posOffset>
          </wp:positionV>
          <wp:extent cx="782320" cy="1209675"/>
          <wp:effectExtent l="0" t="0" r="0" b="0"/>
          <wp:wrapNone/>
          <wp:docPr id="49165039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2320"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76C7EA" w14:textId="1E38D84B" w:rsidR="00911BC0" w:rsidRDefault="00911BC0">
    <w:pPr>
      <w:pStyle w:val="Kopfzeile"/>
      <w:pBdr>
        <w:bottom w:val="single" w:sz="6" w:space="1" w:color="auto"/>
      </w:pBdr>
      <w:tabs>
        <w:tab w:val="clear" w:pos="9071"/>
        <w:tab w:val="right" w:pos="9781"/>
      </w:tabs>
      <w:rPr>
        <w:rFonts w:ascii="Arial" w:hAnsi="Arial"/>
      </w:rPr>
    </w:pPr>
  </w:p>
  <w:p w14:paraId="10E032C7" w14:textId="77777777" w:rsidR="00911BC0" w:rsidRDefault="00911BC0">
    <w:pPr>
      <w:pStyle w:val="Kopfzeile"/>
      <w:tabs>
        <w:tab w:val="clear" w:pos="9071"/>
        <w:tab w:val="right" w:pos="9781"/>
      </w:tabs>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140C4"/>
    <w:multiLevelType w:val="multilevel"/>
    <w:tmpl w:val="D312131A"/>
    <w:lvl w:ilvl="0">
      <w:start w:val="1"/>
      <w:numFmt w:val="decimal"/>
      <w:pStyle w:val="Ehrenberg"/>
      <w:lvlText w:val="%1."/>
      <w:lvlJc w:val="left"/>
      <w:pPr>
        <w:tabs>
          <w:tab w:val="num" w:pos="644"/>
        </w:tabs>
        <w:ind w:left="644" w:hanging="720"/>
      </w:pPr>
    </w:lvl>
    <w:lvl w:ilvl="1">
      <w:start w:val="1"/>
      <w:numFmt w:val="decimal"/>
      <w:lvlText w:val="%2."/>
      <w:lvlJc w:val="left"/>
      <w:pPr>
        <w:tabs>
          <w:tab w:val="num" w:pos="1364"/>
        </w:tabs>
        <w:ind w:left="1364" w:hanging="720"/>
      </w:pPr>
    </w:lvl>
    <w:lvl w:ilvl="2">
      <w:start w:val="1"/>
      <w:numFmt w:val="decimal"/>
      <w:lvlText w:val="%3."/>
      <w:lvlJc w:val="left"/>
      <w:pPr>
        <w:tabs>
          <w:tab w:val="num" w:pos="2084"/>
        </w:tabs>
        <w:ind w:left="2084" w:hanging="720"/>
      </w:pPr>
    </w:lvl>
    <w:lvl w:ilvl="3">
      <w:start w:val="1"/>
      <w:numFmt w:val="decimal"/>
      <w:lvlText w:val="%4."/>
      <w:lvlJc w:val="left"/>
      <w:pPr>
        <w:tabs>
          <w:tab w:val="num" w:pos="2804"/>
        </w:tabs>
        <w:ind w:left="2804" w:hanging="720"/>
      </w:pPr>
    </w:lvl>
    <w:lvl w:ilvl="4">
      <w:start w:val="1"/>
      <w:numFmt w:val="decimal"/>
      <w:lvlText w:val="%5."/>
      <w:lvlJc w:val="left"/>
      <w:pPr>
        <w:tabs>
          <w:tab w:val="num" w:pos="3524"/>
        </w:tabs>
        <w:ind w:left="3524" w:hanging="720"/>
      </w:pPr>
    </w:lvl>
    <w:lvl w:ilvl="5">
      <w:start w:val="1"/>
      <w:numFmt w:val="decimal"/>
      <w:lvlText w:val="%6."/>
      <w:lvlJc w:val="left"/>
      <w:pPr>
        <w:tabs>
          <w:tab w:val="num" w:pos="4244"/>
        </w:tabs>
        <w:ind w:left="4244" w:hanging="720"/>
      </w:pPr>
    </w:lvl>
    <w:lvl w:ilvl="6">
      <w:start w:val="1"/>
      <w:numFmt w:val="decimal"/>
      <w:lvlText w:val="%7."/>
      <w:lvlJc w:val="left"/>
      <w:pPr>
        <w:tabs>
          <w:tab w:val="num" w:pos="4964"/>
        </w:tabs>
        <w:ind w:left="4964" w:hanging="720"/>
      </w:pPr>
    </w:lvl>
    <w:lvl w:ilvl="7">
      <w:start w:val="1"/>
      <w:numFmt w:val="decimal"/>
      <w:lvlText w:val="%8."/>
      <w:lvlJc w:val="left"/>
      <w:pPr>
        <w:tabs>
          <w:tab w:val="num" w:pos="5684"/>
        </w:tabs>
        <w:ind w:left="5684" w:hanging="720"/>
      </w:pPr>
    </w:lvl>
    <w:lvl w:ilvl="8">
      <w:start w:val="1"/>
      <w:numFmt w:val="decimal"/>
      <w:lvlText w:val="%9."/>
      <w:lvlJc w:val="left"/>
      <w:pPr>
        <w:tabs>
          <w:tab w:val="num" w:pos="6404"/>
        </w:tabs>
        <w:ind w:left="6404" w:hanging="720"/>
      </w:pPr>
    </w:lvl>
  </w:abstractNum>
  <w:abstractNum w:abstractNumId="1" w15:restartNumberingAfterBreak="0">
    <w:nsid w:val="0C902C6D"/>
    <w:multiLevelType w:val="multilevel"/>
    <w:tmpl w:val="12EC350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5A17729"/>
    <w:multiLevelType w:val="multilevel"/>
    <w:tmpl w:val="12EC350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884330A"/>
    <w:multiLevelType w:val="hybridMultilevel"/>
    <w:tmpl w:val="E13070A0"/>
    <w:lvl w:ilvl="0" w:tplc="25EADB90">
      <w:start w:val="4"/>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FF50B5"/>
    <w:multiLevelType w:val="hybridMultilevel"/>
    <w:tmpl w:val="7C9626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04B2D55"/>
    <w:multiLevelType w:val="hybridMultilevel"/>
    <w:tmpl w:val="1ADE0F0A"/>
    <w:lvl w:ilvl="0" w:tplc="10A85E46">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366562C"/>
    <w:multiLevelType w:val="hybridMultilevel"/>
    <w:tmpl w:val="CFB4B302"/>
    <w:lvl w:ilvl="0" w:tplc="FD7C030A">
      <w:start w:val="1"/>
      <w:numFmt w:val="decimal"/>
      <w:lvlText w:val="%1."/>
      <w:lvlJc w:val="left"/>
      <w:pPr>
        <w:ind w:left="720" w:hanging="360"/>
      </w:pPr>
      <w:rPr>
        <w:rFonts w:ascii="Arial" w:eastAsia="Times New Roman" w:hAnsi="Arial"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D49130B"/>
    <w:multiLevelType w:val="hybridMultilevel"/>
    <w:tmpl w:val="1ADE0F0A"/>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F5E5159"/>
    <w:multiLevelType w:val="hybridMultilevel"/>
    <w:tmpl w:val="1ADE0F0A"/>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FBD04BB"/>
    <w:multiLevelType w:val="multilevel"/>
    <w:tmpl w:val="EEE0A1A0"/>
    <w:lvl w:ilvl="0">
      <w:start w:val="1"/>
      <w:numFmt w:val="decimal"/>
      <w:pStyle w:val="berschrift1"/>
      <w:suff w:val="space"/>
      <w:lvlText w:val="%1"/>
      <w:lvlJc w:val="left"/>
      <w:pPr>
        <w:ind w:left="2836" w:firstLine="0"/>
      </w:pPr>
    </w:lvl>
    <w:lvl w:ilvl="1">
      <w:start w:val="1"/>
      <w:numFmt w:val="decimal"/>
      <w:pStyle w:val="berschrift2"/>
      <w:suff w:val="space"/>
      <w:lvlText w:val="%1.%2"/>
      <w:lvlJc w:val="left"/>
      <w:pPr>
        <w:ind w:left="0" w:firstLine="0"/>
      </w:pPr>
    </w:lvl>
    <w:lvl w:ilvl="2">
      <w:start w:val="1"/>
      <w:numFmt w:val="decimal"/>
      <w:pStyle w:val="berschrift3"/>
      <w:suff w:val="space"/>
      <w:lvlText w:val="%1.%2.%3"/>
      <w:lvlJc w:val="left"/>
      <w:pPr>
        <w:ind w:left="0" w:firstLine="0"/>
      </w:pPr>
    </w:lvl>
    <w:lvl w:ilvl="3">
      <w:start w:val="1"/>
      <w:numFmt w:val="decimal"/>
      <w:pStyle w:val="berschrift4"/>
      <w:suff w:val="space"/>
      <w:lvlText w:val="%1.%2.%3.%4"/>
      <w:lvlJc w:val="left"/>
      <w:pPr>
        <w:ind w:left="864" w:hanging="864"/>
      </w:pPr>
    </w:lvl>
    <w:lvl w:ilvl="4">
      <w:start w:val="1"/>
      <w:numFmt w:val="decimal"/>
      <w:pStyle w:val="berschrift5"/>
      <w:suff w:val="space"/>
      <w:lvlText w:val="%1.%2.%3.%4.%5"/>
      <w:lvlJc w:val="left"/>
      <w:pPr>
        <w:ind w:left="0" w:firstLine="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71A35D9A"/>
    <w:multiLevelType w:val="multilevel"/>
    <w:tmpl w:val="4B10F7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69555303">
    <w:abstractNumId w:val="9"/>
  </w:num>
  <w:num w:numId="2" w16cid:durableId="374086918">
    <w:abstractNumId w:val="0"/>
  </w:num>
  <w:num w:numId="3" w16cid:durableId="528379250">
    <w:abstractNumId w:val="6"/>
  </w:num>
  <w:num w:numId="4" w16cid:durableId="330720942">
    <w:abstractNumId w:val="2"/>
  </w:num>
  <w:num w:numId="5" w16cid:durableId="231695519">
    <w:abstractNumId w:val="1"/>
  </w:num>
  <w:num w:numId="6" w16cid:durableId="1475753850">
    <w:abstractNumId w:val="5"/>
  </w:num>
  <w:num w:numId="7" w16cid:durableId="328488612">
    <w:abstractNumId w:val="8"/>
  </w:num>
  <w:num w:numId="8" w16cid:durableId="579145119">
    <w:abstractNumId w:val="4"/>
  </w:num>
  <w:num w:numId="9" w16cid:durableId="15306067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1893918">
    <w:abstractNumId w:val="7"/>
  </w:num>
  <w:num w:numId="11" w16cid:durableId="1238248944">
    <w:abstractNumId w:val="3"/>
  </w:num>
  <w:num w:numId="12" w16cid:durableId="1883637689">
    <w:abstractNumId w:val="9"/>
  </w:num>
  <w:num w:numId="13" w16cid:durableId="1565337611">
    <w:abstractNumId w:val="9"/>
  </w:num>
  <w:num w:numId="14" w16cid:durableId="1377005068">
    <w:abstractNumId w:val="9"/>
  </w:num>
  <w:num w:numId="15" w16cid:durableId="1751921827">
    <w:abstractNumId w:val="9"/>
  </w:num>
  <w:num w:numId="16" w16cid:durableId="1451320907">
    <w:abstractNumId w:val="9"/>
  </w:num>
  <w:num w:numId="17" w16cid:durableId="1121455979">
    <w:abstractNumId w:val="9"/>
  </w:num>
  <w:num w:numId="18" w16cid:durableId="1225947440">
    <w:abstractNumId w:val="9"/>
  </w:num>
  <w:num w:numId="19" w16cid:durableId="320619360">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658"/>
    <w:rsid w:val="00000FFD"/>
    <w:rsid w:val="000019B5"/>
    <w:rsid w:val="000022FB"/>
    <w:rsid w:val="00002B19"/>
    <w:rsid w:val="000036DD"/>
    <w:rsid w:val="00003B9E"/>
    <w:rsid w:val="00005A96"/>
    <w:rsid w:val="000068E0"/>
    <w:rsid w:val="00006E79"/>
    <w:rsid w:val="00007BA8"/>
    <w:rsid w:val="00007FC7"/>
    <w:rsid w:val="000106D3"/>
    <w:rsid w:val="00010D08"/>
    <w:rsid w:val="0001119E"/>
    <w:rsid w:val="00011D15"/>
    <w:rsid w:val="00011E50"/>
    <w:rsid w:val="00012418"/>
    <w:rsid w:val="000145AF"/>
    <w:rsid w:val="00014CEB"/>
    <w:rsid w:val="000151EE"/>
    <w:rsid w:val="00015B94"/>
    <w:rsid w:val="0001686A"/>
    <w:rsid w:val="00016C36"/>
    <w:rsid w:val="00017301"/>
    <w:rsid w:val="000177BC"/>
    <w:rsid w:val="00017858"/>
    <w:rsid w:val="0001796F"/>
    <w:rsid w:val="000200F3"/>
    <w:rsid w:val="0002090F"/>
    <w:rsid w:val="00021A66"/>
    <w:rsid w:val="00022AFB"/>
    <w:rsid w:val="00022B3F"/>
    <w:rsid w:val="00022C31"/>
    <w:rsid w:val="00022C38"/>
    <w:rsid w:val="00022C3E"/>
    <w:rsid w:val="00022DAA"/>
    <w:rsid w:val="00023B27"/>
    <w:rsid w:val="00023C2D"/>
    <w:rsid w:val="00023E3F"/>
    <w:rsid w:val="000240EE"/>
    <w:rsid w:val="00024AB9"/>
    <w:rsid w:val="00024E36"/>
    <w:rsid w:val="00025945"/>
    <w:rsid w:val="00025F98"/>
    <w:rsid w:val="000265B9"/>
    <w:rsid w:val="00027753"/>
    <w:rsid w:val="0003012F"/>
    <w:rsid w:val="0003081C"/>
    <w:rsid w:val="00030C0E"/>
    <w:rsid w:val="00030D51"/>
    <w:rsid w:val="000314D1"/>
    <w:rsid w:val="000342AB"/>
    <w:rsid w:val="00034ECA"/>
    <w:rsid w:val="000368D2"/>
    <w:rsid w:val="00036987"/>
    <w:rsid w:val="00036BD1"/>
    <w:rsid w:val="00041027"/>
    <w:rsid w:val="00041764"/>
    <w:rsid w:val="00041A6D"/>
    <w:rsid w:val="00041D5B"/>
    <w:rsid w:val="00042174"/>
    <w:rsid w:val="0004221D"/>
    <w:rsid w:val="00044001"/>
    <w:rsid w:val="00044645"/>
    <w:rsid w:val="00045D07"/>
    <w:rsid w:val="00046307"/>
    <w:rsid w:val="00046714"/>
    <w:rsid w:val="00047B66"/>
    <w:rsid w:val="00047D5E"/>
    <w:rsid w:val="00052398"/>
    <w:rsid w:val="000524DB"/>
    <w:rsid w:val="00052547"/>
    <w:rsid w:val="000534D1"/>
    <w:rsid w:val="00054568"/>
    <w:rsid w:val="00055601"/>
    <w:rsid w:val="00055B0E"/>
    <w:rsid w:val="00055D75"/>
    <w:rsid w:val="00055EBA"/>
    <w:rsid w:val="0005613E"/>
    <w:rsid w:val="0005676A"/>
    <w:rsid w:val="000605A8"/>
    <w:rsid w:val="000615D7"/>
    <w:rsid w:val="000618BE"/>
    <w:rsid w:val="00062F5E"/>
    <w:rsid w:val="00063322"/>
    <w:rsid w:val="000637DE"/>
    <w:rsid w:val="00064006"/>
    <w:rsid w:val="00064317"/>
    <w:rsid w:val="00064B03"/>
    <w:rsid w:val="00066082"/>
    <w:rsid w:val="00066B90"/>
    <w:rsid w:val="00070003"/>
    <w:rsid w:val="000720B7"/>
    <w:rsid w:val="00072788"/>
    <w:rsid w:val="00072F93"/>
    <w:rsid w:val="000739C0"/>
    <w:rsid w:val="00073FAF"/>
    <w:rsid w:val="00074EED"/>
    <w:rsid w:val="000757C4"/>
    <w:rsid w:val="000775A7"/>
    <w:rsid w:val="00077667"/>
    <w:rsid w:val="00081257"/>
    <w:rsid w:val="0008187D"/>
    <w:rsid w:val="00081903"/>
    <w:rsid w:val="00081E34"/>
    <w:rsid w:val="00081FDE"/>
    <w:rsid w:val="000836BC"/>
    <w:rsid w:val="00084190"/>
    <w:rsid w:val="0008535D"/>
    <w:rsid w:val="000856FE"/>
    <w:rsid w:val="00086015"/>
    <w:rsid w:val="00087964"/>
    <w:rsid w:val="00090484"/>
    <w:rsid w:val="00090E5E"/>
    <w:rsid w:val="0009397D"/>
    <w:rsid w:val="00093D4A"/>
    <w:rsid w:val="00094631"/>
    <w:rsid w:val="000A03AB"/>
    <w:rsid w:val="000A1CC0"/>
    <w:rsid w:val="000A2427"/>
    <w:rsid w:val="000A3872"/>
    <w:rsid w:val="000A4031"/>
    <w:rsid w:val="000A456A"/>
    <w:rsid w:val="000A4A2C"/>
    <w:rsid w:val="000A4F3B"/>
    <w:rsid w:val="000A4FB9"/>
    <w:rsid w:val="000B0E37"/>
    <w:rsid w:val="000B1C6E"/>
    <w:rsid w:val="000B2C82"/>
    <w:rsid w:val="000B35E9"/>
    <w:rsid w:val="000B388B"/>
    <w:rsid w:val="000B4BF3"/>
    <w:rsid w:val="000B5498"/>
    <w:rsid w:val="000B5950"/>
    <w:rsid w:val="000B5B2A"/>
    <w:rsid w:val="000B5B6A"/>
    <w:rsid w:val="000B5BBE"/>
    <w:rsid w:val="000B5EE9"/>
    <w:rsid w:val="000B5EFE"/>
    <w:rsid w:val="000B5FA2"/>
    <w:rsid w:val="000B64E7"/>
    <w:rsid w:val="000B6A9B"/>
    <w:rsid w:val="000B6EA9"/>
    <w:rsid w:val="000B73BB"/>
    <w:rsid w:val="000C0225"/>
    <w:rsid w:val="000C08D8"/>
    <w:rsid w:val="000C1103"/>
    <w:rsid w:val="000C1411"/>
    <w:rsid w:val="000C1E78"/>
    <w:rsid w:val="000C30AA"/>
    <w:rsid w:val="000C32F3"/>
    <w:rsid w:val="000C4430"/>
    <w:rsid w:val="000C462D"/>
    <w:rsid w:val="000C4C54"/>
    <w:rsid w:val="000C570E"/>
    <w:rsid w:val="000C62D6"/>
    <w:rsid w:val="000C705F"/>
    <w:rsid w:val="000C72E6"/>
    <w:rsid w:val="000C77A3"/>
    <w:rsid w:val="000C7ED1"/>
    <w:rsid w:val="000D036D"/>
    <w:rsid w:val="000D107E"/>
    <w:rsid w:val="000D16A2"/>
    <w:rsid w:val="000D1898"/>
    <w:rsid w:val="000D1AF2"/>
    <w:rsid w:val="000D204E"/>
    <w:rsid w:val="000D31BA"/>
    <w:rsid w:val="000D355A"/>
    <w:rsid w:val="000D39C8"/>
    <w:rsid w:val="000D3D2B"/>
    <w:rsid w:val="000D3E02"/>
    <w:rsid w:val="000D480E"/>
    <w:rsid w:val="000D51A0"/>
    <w:rsid w:val="000D5B78"/>
    <w:rsid w:val="000D6A01"/>
    <w:rsid w:val="000D70B3"/>
    <w:rsid w:val="000D7184"/>
    <w:rsid w:val="000D7E14"/>
    <w:rsid w:val="000E06A6"/>
    <w:rsid w:val="000E091A"/>
    <w:rsid w:val="000E2ADE"/>
    <w:rsid w:val="000E33EB"/>
    <w:rsid w:val="000E3D60"/>
    <w:rsid w:val="000E4082"/>
    <w:rsid w:val="000E607C"/>
    <w:rsid w:val="000E73F3"/>
    <w:rsid w:val="000F154D"/>
    <w:rsid w:val="000F2A02"/>
    <w:rsid w:val="000F338A"/>
    <w:rsid w:val="000F4213"/>
    <w:rsid w:val="000F6C76"/>
    <w:rsid w:val="000F705B"/>
    <w:rsid w:val="001021B2"/>
    <w:rsid w:val="00102D45"/>
    <w:rsid w:val="00103380"/>
    <w:rsid w:val="001035CD"/>
    <w:rsid w:val="0010567F"/>
    <w:rsid w:val="0010698E"/>
    <w:rsid w:val="001118BF"/>
    <w:rsid w:val="00111C62"/>
    <w:rsid w:val="00113241"/>
    <w:rsid w:val="00113A06"/>
    <w:rsid w:val="00114A83"/>
    <w:rsid w:val="00114D8C"/>
    <w:rsid w:val="00114EAF"/>
    <w:rsid w:val="001156D9"/>
    <w:rsid w:val="00115A9E"/>
    <w:rsid w:val="0012008C"/>
    <w:rsid w:val="00120162"/>
    <w:rsid w:val="001211A5"/>
    <w:rsid w:val="0012120E"/>
    <w:rsid w:val="001218AA"/>
    <w:rsid w:val="00123289"/>
    <w:rsid w:val="001236A7"/>
    <w:rsid w:val="00124B2D"/>
    <w:rsid w:val="00125194"/>
    <w:rsid w:val="00125523"/>
    <w:rsid w:val="0012583D"/>
    <w:rsid w:val="00126866"/>
    <w:rsid w:val="001269A4"/>
    <w:rsid w:val="0012721E"/>
    <w:rsid w:val="00127C2E"/>
    <w:rsid w:val="00130AAB"/>
    <w:rsid w:val="00130FFF"/>
    <w:rsid w:val="00131011"/>
    <w:rsid w:val="001330FE"/>
    <w:rsid w:val="001333DE"/>
    <w:rsid w:val="00133F17"/>
    <w:rsid w:val="00134377"/>
    <w:rsid w:val="00134FCC"/>
    <w:rsid w:val="001358F2"/>
    <w:rsid w:val="00136073"/>
    <w:rsid w:val="00136572"/>
    <w:rsid w:val="00137AAD"/>
    <w:rsid w:val="0014214A"/>
    <w:rsid w:val="001424D9"/>
    <w:rsid w:val="00142517"/>
    <w:rsid w:val="00142C4A"/>
    <w:rsid w:val="00142D60"/>
    <w:rsid w:val="00144E74"/>
    <w:rsid w:val="001459D0"/>
    <w:rsid w:val="00145A0A"/>
    <w:rsid w:val="00145A2B"/>
    <w:rsid w:val="00145B12"/>
    <w:rsid w:val="00145E25"/>
    <w:rsid w:val="00146088"/>
    <w:rsid w:val="00146258"/>
    <w:rsid w:val="00146ACA"/>
    <w:rsid w:val="00146E3E"/>
    <w:rsid w:val="00147065"/>
    <w:rsid w:val="001470F0"/>
    <w:rsid w:val="001473AC"/>
    <w:rsid w:val="00147493"/>
    <w:rsid w:val="0014761F"/>
    <w:rsid w:val="0014764E"/>
    <w:rsid w:val="00147B93"/>
    <w:rsid w:val="00147CD1"/>
    <w:rsid w:val="00147D4D"/>
    <w:rsid w:val="001503AC"/>
    <w:rsid w:val="00150758"/>
    <w:rsid w:val="00150D16"/>
    <w:rsid w:val="00150E01"/>
    <w:rsid w:val="00151A07"/>
    <w:rsid w:val="00152254"/>
    <w:rsid w:val="00152FD2"/>
    <w:rsid w:val="00153101"/>
    <w:rsid w:val="0015359D"/>
    <w:rsid w:val="00153E6C"/>
    <w:rsid w:val="0015446B"/>
    <w:rsid w:val="0015492F"/>
    <w:rsid w:val="00154B21"/>
    <w:rsid w:val="00157857"/>
    <w:rsid w:val="00157D45"/>
    <w:rsid w:val="00157D90"/>
    <w:rsid w:val="0016016F"/>
    <w:rsid w:val="00160AB5"/>
    <w:rsid w:val="001610CA"/>
    <w:rsid w:val="00161681"/>
    <w:rsid w:val="00161794"/>
    <w:rsid w:val="00161DB2"/>
    <w:rsid w:val="001625D2"/>
    <w:rsid w:val="001627D8"/>
    <w:rsid w:val="00162FCA"/>
    <w:rsid w:val="00163DED"/>
    <w:rsid w:val="0016480D"/>
    <w:rsid w:val="00165D47"/>
    <w:rsid w:val="00170164"/>
    <w:rsid w:val="00170C5A"/>
    <w:rsid w:val="001712D1"/>
    <w:rsid w:val="00171C04"/>
    <w:rsid w:val="0017336B"/>
    <w:rsid w:val="00173B1B"/>
    <w:rsid w:val="00174942"/>
    <w:rsid w:val="00175703"/>
    <w:rsid w:val="00175D12"/>
    <w:rsid w:val="00176524"/>
    <w:rsid w:val="0017698D"/>
    <w:rsid w:val="00176B63"/>
    <w:rsid w:val="00177135"/>
    <w:rsid w:val="00180734"/>
    <w:rsid w:val="00180A80"/>
    <w:rsid w:val="001816C1"/>
    <w:rsid w:val="00181E5E"/>
    <w:rsid w:val="0018211B"/>
    <w:rsid w:val="001822F7"/>
    <w:rsid w:val="0018315B"/>
    <w:rsid w:val="00183B06"/>
    <w:rsid w:val="001840FE"/>
    <w:rsid w:val="001844EF"/>
    <w:rsid w:val="00184D44"/>
    <w:rsid w:val="001853E0"/>
    <w:rsid w:val="001854CF"/>
    <w:rsid w:val="00185622"/>
    <w:rsid w:val="00186577"/>
    <w:rsid w:val="001872FF"/>
    <w:rsid w:val="00190C92"/>
    <w:rsid w:val="00191317"/>
    <w:rsid w:val="00191E71"/>
    <w:rsid w:val="001927FA"/>
    <w:rsid w:val="00193170"/>
    <w:rsid w:val="00193371"/>
    <w:rsid w:val="001948AA"/>
    <w:rsid w:val="0019553D"/>
    <w:rsid w:val="00196625"/>
    <w:rsid w:val="001974E5"/>
    <w:rsid w:val="00197574"/>
    <w:rsid w:val="0019763D"/>
    <w:rsid w:val="00197C45"/>
    <w:rsid w:val="001A0C6B"/>
    <w:rsid w:val="001A1F68"/>
    <w:rsid w:val="001A2DE2"/>
    <w:rsid w:val="001A2E57"/>
    <w:rsid w:val="001A3033"/>
    <w:rsid w:val="001A4DB2"/>
    <w:rsid w:val="001A4E94"/>
    <w:rsid w:val="001A59D3"/>
    <w:rsid w:val="001A6A65"/>
    <w:rsid w:val="001A77E7"/>
    <w:rsid w:val="001B0283"/>
    <w:rsid w:val="001B03A8"/>
    <w:rsid w:val="001B1130"/>
    <w:rsid w:val="001B32E9"/>
    <w:rsid w:val="001B332F"/>
    <w:rsid w:val="001B39E1"/>
    <w:rsid w:val="001B3CE9"/>
    <w:rsid w:val="001B46B3"/>
    <w:rsid w:val="001B47B9"/>
    <w:rsid w:val="001B47F8"/>
    <w:rsid w:val="001B4975"/>
    <w:rsid w:val="001B4B74"/>
    <w:rsid w:val="001B4F05"/>
    <w:rsid w:val="001B52FD"/>
    <w:rsid w:val="001B6665"/>
    <w:rsid w:val="001B680D"/>
    <w:rsid w:val="001C06D9"/>
    <w:rsid w:val="001C0F63"/>
    <w:rsid w:val="001C1D0D"/>
    <w:rsid w:val="001C31A0"/>
    <w:rsid w:val="001C3634"/>
    <w:rsid w:val="001C36ED"/>
    <w:rsid w:val="001C6F69"/>
    <w:rsid w:val="001C7883"/>
    <w:rsid w:val="001C7E2F"/>
    <w:rsid w:val="001D062E"/>
    <w:rsid w:val="001D0B09"/>
    <w:rsid w:val="001D140B"/>
    <w:rsid w:val="001D146B"/>
    <w:rsid w:val="001D1619"/>
    <w:rsid w:val="001D1BFC"/>
    <w:rsid w:val="001D23AB"/>
    <w:rsid w:val="001D269E"/>
    <w:rsid w:val="001D2807"/>
    <w:rsid w:val="001D298C"/>
    <w:rsid w:val="001D2B0C"/>
    <w:rsid w:val="001D377D"/>
    <w:rsid w:val="001D3DBF"/>
    <w:rsid w:val="001D5D08"/>
    <w:rsid w:val="001E049A"/>
    <w:rsid w:val="001E169C"/>
    <w:rsid w:val="001E1B24"/>
    <w:rsid w:val="001E2526"/>
    <w:rsid w:val="001E2761"/>
    <w:rsid w:val="001E3BB3"/>
    <w:rsid w:val="001E3E67"/>
    <w:rsid w:val="001E418E"/>
    <w:rsid w:val="001E422D"/>
    <w:rsid w:val="001E46E4"/>
    <w:rsid w:val="001E508C"/>
    <w:rsid w:val="001E5E10"/>
    <w:rsid w:val="001E7225"/>
    <w:rsid w:val="001E769F"/>
    <w:rsid w:val="001F2218"/>
    <w:rsid w:val="001F2710"/>
    <w:rsid w:val="001F2EB5"/>
    <w:rsid w:val="001F3E8E"/>
    <w:rsid w:val="001F4D33"/>
    <w:rsid w:val="001F4F1D"/>
    <w:rsid w:val="001F51A7"/>
    <w:rsid w:val="001F56DE"/>
    <w:rsid w:val="001F5D3A"/>
    <w:rsid w:val="001F5E36"/>
    <w:rsid w:val="001F62C8"/>
    <w:rsid w:val="001F6E2C"/>
    <w:rsid w:val="001F7339"/>
    <w:rsid w:val="001F75FD"/>
    <w:rsid w:val="002002C2"/>
    <w:rsid w:val="00201AFE"/>
    <w:rsid w:val="00201CD3"/>
    <w:rsid w:val="00202BDC"/>
    <w:rsid w:val="00202CFE"/>
    <w:rsid w:val="0020303C"/>
    <w:rsid w:val="002030A0"/>
    <w:rsid w:val="0020368F"/>
    <w:rsid w:val="002051A9"/>
    <w:rsid w:val="00205462"/>
    <w:rsid w:val="002057B1"/>
    <w:rsid w:val="00205954"/>
    <w:rsid w:val="002076A6"/>
    <w:rsid w:val="00211C9B"/>
    <w:rsid w:val="002131AB"/>
    <w:rsid w:val="00216C37"/>
    <w:rsid w:val="00216D76"/>
    <w:rsid w:val="00216F35"/>
    <w:rsid w:val="002173A5"/>
    <w:rsid w:val="00217741"/>
    <w:rsid w:val="0022011F"/>
    <w:rsid w:val="002204B6"/>
    <w:rsid w:val="002204F6"/>
    <w:rsid w:val="002236DF"/>
    <w:rsid w:val="002236EE"/>
    <w:rsid w:val="002241D5"/>
    <w:rsid w:val="00224278"/>
    <w:rsid w:val="002263A2"/>
    <w:rsid w:val="00226521"/>
    <w:rsid w:val="002276BD"/>
    <w:rsid w:val="002311A7"/>
    <w:rsid w:val="002313CE"/>
    <w:rsid w:val="002313E5"/>
    <w:rsid w:val="00231CFF"/>
    <w:rsid w:val="00233884"/>
    <w:rsid w:val="00233CCD"/>
    <w:rsid w:val="00236753"/>
    <w:rsid w:val="00236FAE"/>
    <w:rsid w:val="0023736D"/>
    <w:rsid w:val="00237435"/>
    <w:rsid w:val="00237A48"/>
    <w:rsid w:val="002413E4"/>
    <w:rsid w:val="002416E8"/>
    <w:rsid w:val="00241E6B"/>
    <w:rsid w:val="00241EEE"/>
    <w:rsid w:val="00242964"/>
    <w:rsid w:val="00242B4C"/>
    <w:rsid w:val="00243D32"/>
    <w:rsid w:val="00244675"/>
    <w:rsid w:val="00244F92"/>
    <w:rsid w:val="00245A70"/>
    <w:rsid w:val="00245D90"/>
    <w:rsid w:val="00246546"/>
    <w:rsid w:val="002467F9"/>
    <w:rsid w:val="00246CF7"/>
    <w:rsid w:val="0025261C"/>
    <w:rsid w:val="00252CE4"/>
    <w:rsid w:val="00253664"/>
    <w:rsid w:val="00253F10"/>
    <w:rsid w:val="00254B69"/>
    <w:rsid w:val="0025520B"/>
    <w:rsid w:val="00255237"/>
    <w:rsid w:val="0025530A"/>
    <w:rsid w:val="002553A0"/>
    <w:rsid w:val="0025640C"/>
    <w:rsid w:val="002602D5"/>
    <w:rsid w:val="002610A7"/>
    <w:rsid w:val="002614D0"/>
    <w:rsid w:val="0026153C"/>
    <w:rsid w:val="002630AE"/>
    <w:rsid w:val="00263A83"/>
    <w:rsid w:val="00263DE1"/>
    <w:rsid w:val="00264A46"/>
    <w:rsid w:val="00264CEC"/>
    <w:rsid w:val="00265168"/>
    <w:rsid w:val="00265DBF"/>
    <w:rsid w:val="0026642B"/>
    <w:rsid w:val="0026651A"/>
    <w:rsid w:val="00267D2A"/>
    <w:rsid w:val="00271016"/>
    <w:rsid w:val="002712E7"/>
    <w:rsid w:val="002720C3"/>
    <w:rsid w:val="00272B7D"/>
    <w:rsid w:val="00272D20"/>
    <w:rsid w:val="00273EFA"/>
    <w:rsid w:val="002740DE"/>
    <w:rsid w:val="00274436"/>
    <w:rsid w:val="002745A8"/>
    <w:rsid w:val="00275B23"/>
    <w:rsid w:val="00275C26"/>
    <w:rsid w:val="00275D7E"/>
    <w:rsid w:val="0027647E"/>
    <w:rsid w:val="00277B9F"/>
    <w:rsid w:val="00277E0D"/>
    <w:rsid w:val="002806AE"/>
    <w:rsid w:val="00283657"/>
    <w:rsid w:val="00283A8A"/>
    <w:rsid w:val="00284688"/>
    <w:rsid w:val="00285068"/>
    <w:rsid w:val="002866B9"/>
    <w:rsid w:val="002872C3"/>
    <w:rsid w:val="0028776C"/>
    <w:rsid w:val="00290464"/>
    <w:rsid w:val="00290DBF"/>
    <w:rsid w:val="00290FF4"/>
    <w:rsid w:val="00291334"/>
    <w:rsid w:val="002914C1"/>
    <w:rsid w:val="00291AC9"/>
    <w:rsid w:val="00291CA1"/>
    <w:rsid w:val="0029214E"/>
    <w:rsid w:val="00294E19"/>
    <w:rsid w:val="00295B2E"/>
    <w:rsid w:val="00296091"/>
    <w:rsid w:val="002A01F8"/>
    <w:rsid w:val="002A0F2E"/>
    <w:rsid w:val="002A2534"/>
    <w:rsid w:val="002A472E"/>
    <w:rsid w:val="002A5BD8"/>
    <w:rsid w:val="002A5D82"/>
    <w:rsid w:val="002A6447"/>
    <w:rsid w:val="002A657B"/>
    <w:rsid w:val="002A6722"/>
    <w:rsid w:val="002A781F"/>
    <w:rsid w:val="002A7C14"/>
    <w:rsid w:val="002B0032"/>
    <w:rsid w:val="002B0582"/>
    <w:rsid w:val="002B20D0"/>
    <w:rsid w:val="002B4240"/>
    <w:rsid w:val="002B4DFB"/>
    <w:rsid w:val="002B51EB"/>
    <w:rsid w:val="002B54AA"/>
    <w:rsid w:val="002B6A16"/>
    <w:rsid w:val="002B70DE"/>
    <w:rsid w:val="002B7968"/>
    <w:rsid w:val="002B7ACD"/>
    <w:rsid w:val="002C0338"/>
    <w:rsid w:val="002C17BB"/>
    <w:rsid w:val="002C4832"/>
    <w:rsid w:val="002C6206"/>
    <w:rsid w:val="002C624C"/>
    <w:rsid w:val="002C7B21"/>
    <w:rsid w:val="002D0042"/>
    <w:rsid w:val="002D08AF"/>
    <w:rsid w:val="002D10B3"/>
    <w:rsid w:val="002D21CA"/>
    <w:rsid w:val="002D28BB"/>
    <w:rsid w:val="002D2E43"/>
    <w:rsid w:val="002D2E7F"/>
    <w:rsid w:val="002D338B"/>
    <w:rsid w:val="002D3FFC"/>
    <w:rsid w:val="002D5656"/>
    <w:rsid w:val="002D5D06"/>
    <w:rsid w:val="002D5EBA"/>
    <w:rsid w:val="002D6D13"/>
    <w:rsid w:val="002D7052"/>
    <w:rsid w:val="002E0191"/>
    <w:rsid w:val="002E01C8"/>
    <w:rsid w:val="002E18FF"/>
    <w:rsid w:val="002E2B1B"/>
    <w:rsid w:val="002E30BA"/>
    <w:rsid w:val="002E3481"/>
    <w:rsid w:val="002E3BE6"/>
    <w:rsid w:val="002E468E"/>
    <w:rsid w:val="002E4A50"/>
    <w:rsid w:val="002E511E"/>
    <w:rsid w:val="002E5393"/>
    <w:rsid w:val="002E5909"/>
    <w:rsid w:val="002E60FF"/>
    <w:rsid w:val="002E70A3"/>
    <w:rsid w:val="002E7511"/>
    <w:rsid w:val="002E776C"/>
    <w:rsid w:val="002E7B8D"/>
    <w:rsid w:val="002F1201"/>
    <w:rsid w:val="002F27D2"/>
    <w:rsid w:val="002F2F34"/>
    <w:rsid w:val="002F5298"/>
    <w:rsid w:val="002F6D3D"/>
    <w:rsid w:val="0030060E"/>
    <w:rsid w:val="00300AB6"/>
    <w:rsid w:val="00301AB4"/>
    <w:rsid w:val="00302258"/>
    <w:rsid w:val="00303FD6"/>
    <w:rsid w:val="00303FE2"/>
    <w:rsid w:val="00304479"/>
    <w:rsid w:val="00304500"/>
    <w:rsid w:val="00306D52"/>
    <w:rsid w:val="00306DE1"/>
    <w:rsid w:val="00307EC8"/>
    <w:rsid w:val="003108CD"/>
    <w:rsid w:val="00312B03"/>
    <w:rsid w:val="00313B76"/>
    <w:rsid w:val="00313C06"/>
    <w:rsid w:val="00313ECC"/>
    <w:rsid w:val="003141B0"/>
    <w:rsid w:val="003146CE"/>
    <w:rsid w:val="00315C5A"/>
    <w:rsid w:val="00316109"/>
    <w:rsid w:val="003167DE"/>
    <w:rsid w:val="0031744C"/>
    <w:rsid w:val="00317AD7"/>
    <w:rsid w:val="00320086"/>
    <w:rsid w:val="00320267"/>
    <w:rsid w:val="003203E1"/>
    <w:rsid w:val="003224B0"/>
    <w:rsid w:val="003224D8"/>
    <w:rsid w:val="00322978"/>
    <w:rsid w:val="00322C29"/>
    <w:rsid w:val="00324062"/>
    <w:rsid w:val="00325EC6"/>
    <w:rsid w:val="0032608C"/>
    <w:rsid w:val="00326C9A"/>
    <w:rsid w:val="003305C0"/>
    <w:rsid w:val="00330945"/>
    <w:rsid w:val="00331075"/>
    <w:rsid w:val="00331182"/>
    <w:rsid w:val="003315A9"/>
    <w:rsid w:val="00331F84"/>
    <w:rsid w:val="0033289E"/>
    <w:rsid w:val="00332F2D"/>
    <w:rsid w:val="00333014"/>
    <w:rsid w:val="00333DBD"/>
    <w:rsid w:val="00334210"/>
    <w:rsid w:val="00334605"/>
    <w:rsid w:val="0033500A"/>
    <w:rsid w:val="00335BF0"/>
    <w:rsid w:val="00335ED3"/>
    <w:rsid w:val="00337FF9"/>
    <w:rsid w:val="00340042"/>
    <w:rsid w:val="00341CFC"/>
    <w:rsid w:val="00342031"/>
    <w:rsid w:val="003420F4"/>
    <w:rsid w:val="00342698"/>
    <w:rsid w:val="003427FA"/>
    <w:rsid w:val="00344726"/>
    <w:rsid w:val="00346A9E"/>
    <w:rsid w:val="00346FCF"/>
    <w:rsid w:val="00347482"/>
    <w:rsid w:val="003474F9"/>
    <w:rsid w:val="003509AC"/>
    <w:rsid w:val="00350CD5"/>
    <w:rsid w:val="003512C4"/>
    <w:rsid w:val="00351938"/>
    <w:rsid w:val="00351A60"/>
    <w:rsid w:val="00352006"/>
    <w:rsid w:val="0035556B"/>
    <w:rsid w:val="00355C56"/>
    <w:rsid w:val="00356B23"/>
    <w:rsid w:val="00356F61"/>
    <w:rsid w:val="00356FCF"/>
    <w:rsid w:val="003570D4"/>
    <w:rsid w:val="00357F8B"/>
    <w:rsid w:val="00357FC8"/>
    <w:rsid w:val="003603A7"/>
    <w:rsid w:val="003605F2"/>
    <w:rsid w:val="003616A5"/>
    <w:rsid w:val="003628FE"/>
    <w:rsid w:val="00363C64"/>
    <w:rsid w:val="003641F3"/>
    <w:rsid w:val="00364B5D"/>
    <w:rsid w:val="00365090"/>
    <w:rsid w:val="00365099"/>
    <w:rsid w:val="00367327"/>
    <w:rsid w:val="003673C0"/>
    <w:rsid w:val="00367E39"/>
    <w:rsid w:val="00370901"/>
    <w:rsid w:val="00370BC9"/>
    <w:rsid w:val="00370CA7"/>
    <w:rsid w:val="0037119A"/>
    <w:rsid w:val="00371A1B"/>
    <w:rsid w:val="00371FE6"/>
    <w:rsid w:val="0037207C"/>
    <w:rsid w:val="00373F15"/>
    <w:rsid w:val="00375FED"/>
    <w:rsid w:val="00380ED2"/>
    <w:rsid w:val="00382F53"/>
    <w:rsid w:val="00383CD9"/>
    <w:rsid w:val="003846DE"/>
    <w:rsid w:val="00384D12"/>
    <w:rsid w:val="00386B52"/>
    <w:rsid w:val="00392D5A"/>
    <w:rsid w:val="00393203"/>
    <w:rsid w:val="00393801"/>
    <w:rsid w:val="003945BE"/>
    <w:rsid w:val="00394648"/>
    <w:rsid w:val="00394BD4"/>
    <w:rsid w:val="00394ED1"/>
    <w:rsid w:val="00395159"/>
    <w:rsid w:val="00395969"/>
    <w:rsid w:val="00396B0A"/>
    <w:rsid w:val="003978A4"/>
    <w:rsid w:val="003A0835"/>
    <w:rsid w:val="003A0DA1"/>
    <w:rsid w:val="003A1FB0"/>
    <w:rsid w:val="003A2480"/>
    <w:rsid w:val="003A2CF0"/>
    <w:rsid w:val="003A3F8F"/>
    <w:rsid w:val="003A4CB1"/>
    <w:rsid w:val="003A4F64"/>
    <w:rsid w:val="003A5DD5"/>
    <w:rsid w:val="003A62FB"/>
    <w:rsid w:val="003A6A60"/>
    <w:rsid w:val="003A6A8B"/>
    <w:rsid w:val="003A7448"/>
    <w:rsid w:val="003A7BEF"/>
    <w:rsid w:val="003B0B6C"/>
    <w:rsid w:val="003B1066"/>
    <w:rsid w:val="003B109E"/>
    <w:rsid w:val="003B1584"/>
    <w:rsid w:val="003B185D"/>
    <w:rsid w:val="003B22C4"/>
    <w:rsid w:val="003B296F"/>
    <w:rsid w:val="003B33B3"/>
    <w:rsid w:val="003B3591"/>
    <w:rsid w:val="003B3F4E"/>
    <w:rsid w:val="003B4631"/>
    <w:rsid w:val="003B57B9"/>
    <w:rsid w:val="003B5EA9"/>
    <w:rsid w:val="003B7689"/>
    <w:rsid w:val="003B7B64"/>
    <w:rsid w:val="003C05AF"/>
    <w:rsid w:val="003C07D0"/>
    <w:rsid w:val="003C132B"/>
    <w:rsid w:val="003C144F"/>
    <w:rsid w:val="003C19B3"/>
    <w:rsid w:val="003C1B60"/>
    <w:rsid w:val="003D0375"/>
    <w:rsid w:val="003D0443"/>
    <w:rsid w:val="003D07BC"/>
    <w:rsid w:val="003D0CA5"/>
    <w:rsid w:val="003D0E43"/>
    <w:rsid w:val="003D1238"/>
    <w:rsid w:val="003D1261"/>
    <w:rsid w:val="003D13A3"/>
    <w:rsid w:val="003D1609"/>
    <w:rsid w:val="003D1AA6"/>
    <w:rsid w:val="003D1CFC"/>
    <w:rsid w:val="003D22A6"/>
    <w:rsid w:val="003D4B1E"/>
    <w:rsid w:val="003D615A"/>
    <w:rsid w:val="003E0C3C"/>
    <w:rsid w:val="003E0D95"/>
    <w:rsid w:val="003E1845"/>
    <w:rsid w:val="003E1929"/>
    <w:rsid w:val="003E1A96"/>
    <w:rsid w:val="003E1BA2"/>
    <w:rsid w:val="003E1CE6"/>
    <w:rsid w:val="003E1F14"/>
    <w:rsid w:val="003E28A8"/>
    <w:rsid w:val="003E2EDD"/>
    <w:rsid w:val="003E346D"/>
    <w:rsid w:val="003E3EB6"/>
    <w:rsid w:val="003E41CB"/>
    <w:rsid w:val="003E7669"/>
    <w:rsid w:val="003E78DB"/>
    <w:rsid w:val="003E7E9E"/>
    <w:rsid w:val="003F0371"/>
    <w:rsid w:val="003F11F1"/>
    <w:rsid w:val="003F1C9D"/>
    <w:rsid w:val="003F1EDC"/>
    <w:rsid w:val="003F26E0"/>
    <w:rsid w:val="003F3427"/>
    <w:rsid w:val="003F3977"/>
    <w:rsid w:val="003F4717"/>
    <w:rsid w:val="003F4D71"/>
    <w:rsid w:val="003F58CF"/>
    <w:rsid w:val="003F7106"/>
    <w:rsid w:val="00401D80"/>
    <w:rsid w:val="004026B8"/>
    <w:rsid w:val="00402C51"/>
    <w:rsid w:val="004037C1"/>
    <w:rsid w:val="00403885"/>
    <w:rsid w:val="00403B16"/>
    <w:rsid w:val="00403B6D"/>
    <w:rsid w:val="00404697"/>
    <w:rsid w:val="00410CDF"/>
    <w:rsid w:val="00411C85"/>
    <w:rsid w:val="0041231A"/>
    <w:rsid w:val="00412E6C"/>
    <w:rsid w:val="00416117"/>
    <w:rsid w:val="004203AA"/>
    <w:rsid w:val="00420666"/>
    <w:rsid w:val="00420B36"/>
    <w:rsid w:val="00422A4C"/>
    <w:rsid w:val="00422BB3"/>
    <w:rsid w:val="004235BF"/>
    <w:rsid w:val="004237DF"/>
    <w:rsid w:val="00424942"/>
    <w:rsid w:val="0042593A"/>
    <w:rsid w:val="00425FA7"/>
    <w:rsid w:val="004263F8"/>
    <w:rsid w:val="004265BE"/>
    <w:rsid w:val="00427929"/>
    <w:rsid w:val="00430796"/>
    <w:rsid w:val="00430F5C"/>
    <w:rsid w:val="0043135A"/>
    <w:rsid w:val="00431637"/>
    <w:rsid w:val="0043296B"/>
    <w:rsid w:val="00433509"/>
    <w:rsid w:val="00433CFD"/>
    <w:rsid w:val="00436E62"/>
    <w:rsid w:val="00437737"/>
    <w:rsid w:val="00437C35"/>
    <w:rsid w:val="004400B0"/>
    <w:rsid w:val="00440B01"/>
    <w:rsid w:val="00440D06"/>
    <w:rsid w:val="004411C4"/>
    <w:rsid w:val="00441A9B"/>
    <w:rsid w:val="004428FB"/>
    <w:rsid w:val="00445BE2"/>
    <w:rsid w:val="0044641F"/>
    <w:rsid w:val="00446FDA"/>
    <w:rsid w:val="004477BC"/>
    <w:rsid w:val="00447DB7"/>
    <w:rsid w:val="00447E3B"/>
    <w:rsid w:val="00450038"/>
    <w:rsid w:val="0045024B"/>
    <w:rsid w:val="00451088"/>
    <w:rsid w:val="00452432"/>
    <w:rsid w:val="0045290B"/>
    <w:rsid w:val="00452A3D"/>
    <w:rsid w:val="00453AA7"/>
    <w:rsid w:val="004545E2"/>
    <w:rsid w:val="00455C97"/>
    <w:rsid w:val="00456249"/>
    <w:rsid w:val="00456C1F"/>
    <w:rsid w:val="004571B0"/>
    <w:rsid w:val="00460642"/>
    <w:rsid w:val="00460E3C"/>
    <w:rsid w:val="00464487"/>
    <w:rsid w:val="00464F62"/>
    <w:rsid w:val="004654E3"/>
    <w:rsid w:val="004662D3"/>
    <w:rsid w:val="00466611"/>
    <w:rsid w:val="004668DC"/>
    <w:rsid w:val="00466A3D"/>
    <w:rsid w:val="00467996"/>
    <w:rsid w:val="004702E6"/>
    <w:rsid w:val="00473953"/>
    <w:rsid w:val="00474132"/>
    <w:rsid w:val="00474327"/>
    <w:rsid w:val="0047443A"/>
    <w:rsid w:val="0047446B"/>
    <w:rsid w:val="00474787"/>
    <w:rsid w:val="00474859"/>
    <w:rsid w:val="004750E8"/>
    <w:rsid w:val="00475F02"/>
    <w:rsid w:val="00477BD4"/>
    <w:rsid w:val="00480B78"/>
    <w:rsid w:val="00482577"/>
    <w:rsid w:val="0048276F"/>
    <w:rsid w:val="00482C96"/>
    <w:rsid w:val="00483374"/>
    <w:rsid w:val="0048378E"/>
    <w:rsid w:val="00484785"/>
    <w:rsid w:val="00484DDD"/>
    <w:rsid w:val="00486040"/>
    <w:rsid w:val="00486835"/>
    <w:rsid w:val="00486E9F"/>
    <w:rsid w:val="004874D3"/>
    <w:rsid w:val="004903E7"/>
    <w:rsid w:val="004906F9"/>
    <w:rsid w:val="00490A86"/>
    <w:rsid w:val="00490A99"/>
    <w:rsid w:val="004921DB"/>
    <w:rsid w:val="00492264"/>
    <w:rsid w:val="00492356"/>
    <w:rsid w:val="00493B9E"/>
    <w:rsid w:val="00493E53"/>
    <w:rsid w:val="00494A1A"/>
    <w:rsid w:val="004954C2"/>
    <w:rsid w:val="00495774"/>
    <w:rsid w:val="00495893"/>
    <w:rsid w:val="0049643E"/>
    <w:rsid w:val="00496A89"/>
    <w:rsid w:val="00496BC9"/>
    <w:rsid w:val="00496C1C"/>
    <w:rsid w:val="00496C9F"/>
    <w:rsid w:val="004A02E6"/>
    <w:rsid w:val="004A055C"/>
    <w:rsid w:val="004A0A03"/>
    <w:rsid w:val="004A1E52"/>
    <w:rsid w:val="004A539D"/>
    <w:rsid w:val="004A550D"/>
    <w:rsid w:val="004A6119"/>
    <w:rsid w:val="004A6BDE"/>
    <w:rsid w:val="004A6DDF"/>
    <w:rsid w:val="004A7281"/>
    <w:rsid w:val="004B014E"/>
    <w:rsid w:val="004B041D"/>
    <w:rsid w:val="004B1CB8"/>
    <w:rsid w:val="004B1F0F"/>
    <w:rsid w:val="004B221F"/>
    <w:rsid w:val="004B28F4"/>
    <w:rsid w:val="004B3923"/>
    <w:rsid w:val="004B5444"/>
    <w:rsid w:val="004B6311"/>
    <w:rsid w:val="004B6566"/>
    <w:rsid w:val="004C0CBD"/>
    <w:rsid w:val="004C231B"/>
    <w:rsid w:val="004C3D9B"/>
    <w:rsid w:val="004C53C4"/>
    <w:rsid w:val="004C669B"/>
    <w:rsid w:val="004C7B8A"/>
    <w:rsid w:val="004D2973"/>
    <w:rsid w:val="004D33E3"/>
    <w:rsid w:val="004D3F24"/>
    <w:rsid w:val="004D4C26"/>
    <w:rsid w:val="004D5C26"/>
    <w:rsid w:val="004D70EF"/>
    <w:rsid w:val="004E2383"/>
    <w:rsid w:val="004E2408"/>
    <w:rsid w:val="004E3547"/>
    <w:rsid w:val="004E4B81"/>
    <w:rsid w:val="004E682C"/>
    <w:rsid w:val="004E715B"/>
    <w:rsid w:val="004E744E"/>
    <w:rsid w:val="004E7E9B"/>
    <w:rsid w:val="004F02EA"/>
    <w:rsid w:val="004F04A4"/>
    <w:rsid w:val="004F0FAE"/>
    <w:rsid w:val="004F1261"/>
    <w:rsid w:val="004F156D"/>
    <w:rsid w:val="004F2215"/>
    <w:rsid w:val="004F302C"/>
    <w:rsid w:val="004F32BB"/>
    <w:rsid w:val="004F34AB"/>
    <w:rsid w:val="004F3C51"/>
    <w:rsid w:val="004F3FC3"/>
    <w:rsid w:val="004F4A36"/>
    <w:rsid w:val="004F5097"/>
    <w:rsid w:val="004F552A"/>
    <w:rsid w:val="004F5C42"/>
    <w:rsid w:val="004F5D3B"/>
    <w:rsid w:val="004F660F"/>
    <w:rsid w:val="004F6CDE"/>
    <w:rsid w:val="004F7061"/>
    <w:rsid w:val="004F7202"/>
    <w:rsid w:val="005002E1"/>
    <w:rsid w:val="0050048C"/>
    <w:rsid w:val="00500F36"/>
    <w:rsid w:val="005019AD"/>
    <w:rsid w:val="00501CE2"/>
    <w:rsid w:val="0050235C"/>
    <w:rsid w:val="00502957"/>
    <w:rsid w:val="00503646"/>
    <w:rsid w:val="005039B4"/>
    <w:rsid w:val="00503BF0"/>
    <w:rsid w:val="0050405B"/>
    <w:rsid w:val="005043E9"/>
    <w:rsid w:val="005044DB"/>
    <w:rsid w:val="00505A2E"/>
    <w:rsid w:val="00505C82"/>
    <w:rsid w:val="005064BE"/>
    <w:rsid w:val="00507177"/>
    <w:rsid w:val="00507C41"/>
    <w:rsid w:val="0051062F"/>
    <w:rsid w:val="005114F4"/>
    <w:rsid w:val="00511FCB"/>
    <w:rsid w:val="005122EC"/>
    <w:rsid w:val="005128A0"/>
    <w:rsid w:val="005137AF"/>
    <w:rsid w:val="005137F5"/>
    <w:rsid w:val="0051537B"/>
    <w:rsid w:val="0051586F"/>
    <w:rsid w:val="0051630A"/>
    <w:rsid w:val="00516F95"/>
    <w:rsid w:val="005174D5"/>
    <w:rsid w:val="00517547"/>
    <w:rsid w:val="005179DA"/>
    <w:rsid w:val="00522314"/>
    <w:rsid w:val="00522404"/>
    <w:rsid w:val="005225CC"/>
    <w:rsid w:val="00524975"/>
    <w:rsid w:val="00525467"/>
    <w:rsid w:val="0052594F"/>
    <w:rsid w:val="005274E1"/>
    <w:rsid w:val="00527FB3"/>
    <w:rsid w:val="0053076D"/>
    <w:rsid w:val="0053106C"/>
    <w:rsid w:val="00531E8D"/>
    <w:rsid w:val="00532714"/>
    <w:rsid w:val="00532E26"/>
    <w:rsid w:val="00533B6F"/>
    <w:rsid w:val="00534490"/>
    <w:rsid w:val="0053473C"/>
    <w:rsid w:val="0053473E"/>
    <w:rsid w:val="005352EA"/>
    <w:rsid w:val="00535540"/>
    <w:rsid w:val="0053568E"/>
    <w:rsid w:val="005359DD"/>
    <w:rsid w:val="00536B5D"/>
    <w:rsid w:val="00536F97"/>
    <w:rsid w:val="00540C60"/>
    <w:rsid w:val="00543BD2"/>
    <w:rsid w:val="005442B0"/>
    <w:rsid w:val="00544D56"/>
    <w:rsid w:val="00547288"/>
    <w:rsid w:val="00547605"/>
    <w:rsid w:val="00551AC5"/>
    <w:rsid w:val="00554004"/>
    <w:rsid w:val="005562CE"/>
    <w:rsid w:val="00556FF8"/>
    <w:rsid w:val="00557C21"/>
    <w:rsid w:val="00561EC8"/>
    <w:rsid w:val="0056302C"/>
    <w:rsid w:val="00563D72"/>
    <w:rsid w:val="00565C39"/>
    <w:rsid w:val="00566272"/>
    <w:rsid w:val="00566F39"/>
    <w:rsid w:val="005675CD"/>
    <w:rsid w:val="00567950"/>
    <w:rsid w:val="00570224"/>
    <w:rsid w:val="005707D2"/>
    <w:rsid w:val="005707F3"/>
    <w:rsid w:val="0057190F"/>
    <w:rsid w:val="00571CBB"/>
    <w:rsid w:val="00573AA4"/>
    <w:rsid w:val="00573C75"/>
    <w:rsid w:val="00573F4D"/>
    <w:rsid w:val="005757B2"/>
    <w:rsid w:val="00575A87"/>
    <w:rsid w:val="0057632C"/>
    <w:rsid w:val="005767C6"/>
    <w:rsid w:val="00576A56"/>
    <w:rsid w:val="005771CC"/>
    <w:rsid w:val="005812DB"/>
    <w:rsid w:val="0058226D"/>
    <w:rsid w:val="005823E9"/>
    <w:rsid w:val="00582A62"/>
    <w:rsid w:val="00583CEA"/>
    <w:rsid w:val="00584A5F"/>
    <w:rsid w:val="005850F1"/>
    <w:rsid w:val="0058651E"/>
    <w:rsid w:val="00586666"/>
    <w:rsid w:val="005866E0"/>
    <w:rsid w:val="005868D3"/>
    <w:rsid w:val="00586BF8"/>
    <w:rsid w:val="00587147"/>
    <w:rsid w:val="0058761F"/>
    <w:rsid w:val="00590319"/>
    <w:rsid w:val="00590600"/>
    <w:rsid w:val="00590B6B"/>
    <w:rsid w:val="00590E10"/>
    <w:rsid w:val="00591AAD"/>
    <w:rsid w:val="00594080"/>
    <w:rsid w:val="005940A0"/>
    <w:rsid w:val="00594B69"/>
    <w:rsid w:val="00595300"/>
    <w:rsid w:val="005965B3"/>
    <w:rsid w:val="00596CA8"/>
    <w:rsid w:val="00597221"/>
    <w:rsid w:val="005A0052"/>
    <w:rsid w:val="005A14D4"/>
    <w:rsid w:val="005A1616"/>
    <w:rsid w:val="005A16B9"/>
    <w:rsid w:val="005A174F"/>
    <w:rsid w:val="005A32AD"/>
    <w:rsid w:val="005A3B79"/>
    <w:rsid w:val="005A448E"/>
    <w:rsid w:val="005A4861"/>
    <w:rsid w:val="005A546A"/>
    <w:rsid w:val="005A67B5"/>
    <w:rsid w:val="005A6A8E"/>
    <w:rsid w:val="005A7955"/>
    <w:rsid w:val="005B01DF"/>
    <w:rsid w:val="005B0A2E"/>
    <w:rsid w:val="005B0DE8"/>
    <w:rsid w:val="005B1068"/>
    <w:rsid w:val="005B1428"/>
    <w:rsid w:val="005B2556"/>
    <w:rsid w:val="005B2B33"/>
    <w:rsid w:val="005B4836"/>
    <w:rsid w:val="005B519F"/>
    <w:rsid w:val="005B5BBB"/>
    <w:rsid w:val="005B6466"/>
    <w:rsid w:val="005B6DAC"/>
    <w:rsid w:val="005B6ED3"/>
    <w:rsid w:val="005C0D89"/>
    <w:rsid w:val="005C32D0"/>
    <w:rsid w:val="005C36A3"/>
    <w:rsid w:val="005C37FE"/>
    <w:rsid w:val="005C4C2B"/>
    <w:rsid w:val="005C5C6B"/>
    <w:rsid w:val="005C7655"/>
    <w:rsid w:val="005D00A5"/>
    <w:rsid w:val="005D0918"/>
    <w:rsid w:val="005D0F2A"/>
    <w:rsid w:val="005D1592"/>
    <w:rsid w:val="005D398D"/>
    <w:rsid w:val="005D39BB"/>
    <w:rsid w:val="005D3BF7"/>
    <w:rsid w:val="005D3D89"/>
    <w:rsid w:val="005D59CB"/>
    <w:rsid w:val="005D5B61"/>
    <w:rsid w:val="005D5E49"/>
    <w:rsid w:val="005D6C41"/>
    <w:rsid w:val="005D6D54"/>
    <w:rsid w:val="005D73B9"/>
    <w:rsid w:val="005E002A"/>
    <w:rsid w:val="005E032B"/>
    <w:rsid w:val="005E264A"/>
    <w:rsid w:val="005E26F5"/>
    <w:rsid w:val="005E2B2E"/>
    <w:rsid w:val="005E473B"/>
    <w:rsid w:val="005E5C8F"/>
    <w:rsid w:val="005E650A"/>
    <w:rsid w:val="005E69C2"/>
    <w:rsid w:val="005E71E7"/>
    <w:rsid w:val="005E74F3"/>
    <w:rsid w:val="005E7CF3"/>
    <w:rsid w:val="005F03FC"/>
    <w:rsid w:val="005F05BB"/>
    <w:rsid w:val="005F0AD9"/>
    <w:rsid w:val="005F2C43"/>
    <w:rsid w:val="005F3098"/>
    <w:rsid w:val="005F30BC"/>
    <w:rsid w:val="005F3526"/>
    <w:rsid w:val="005F46E4"/>
    <w:rsid w:val="005F574E"/>
    <w:rsid w:val="005F5D04"/>
    <w:rsid w:val="005F5EB4"/>
    <w:rsid w:val="005F72AE"/>
    <w:rsid w:val="0060101E"/>
    <w:rsid w:val="00601095"/>
    <w:rsid w:val="006010B8"/>
    <w:rsid w:val="00602A23"/>
    <w:rsid w:val="00602CA4"/>
    <w:rsid w:val="00605962"/>
    <w:rsid w:val="00606F22"/>
    <w:rsid w:val="006071A5"/>
    <w:rsid w:val="006073ED"/>
    <w:rsid w:val="00607554"/>
    <w:rsid w:val="0061017A"/>
    <w:rsid w:val="0061075E"/>
    <w:rsid w:val="00610D87"/>
    <w:rsid w:val="006117FB"/>
    <w:rsid w:val="00611C46"/>
    <w:rsid w:val="006121D9"/>
    <w:rsid w:val="0061439F"/>
    <w:rsid w:val="00614703"/>
    <w:rsid w:val="00614F86"/>
    <w:rsid w:val="006162D9"/>
    <w:rsid w:val="00617844"/>
    <w:rsid w:val="0062029E"/>
    <w:rsid w:val="00620585"/>
    <w:rsid w:val="006206CA"/>
    <w:rsid w:val="006219D6"/>
    <w:rsid w:val="00621EA0"/>
    <w:rsid w:val="006227EA"/>
    <w:rsid w:val="00623158"/>
    <w:rsid w:val="0062345E"/>
    <w:rsid w:val="0062378D"/>
    <w:rsid w:val="00623FF1"/>
    <w:rsid w:val="006243F2"/>
    <w:rsid w:val="006249B1"/>
    <w:rsid w:val="006250B2"/>
    <w:rsid w:val="00625A64"/>
    <w:rsid w:val="00625DE0"/>
    <w:rsid w:val="00625E21"/>
    <w:rsid w:val="00626421"/>
    <w:rsid w:val="006267B2"/>
    <w:rsid w:val="006273BF"/>
    <w:rsid w:val="00627CB3"/>
    <w:rsid w:val="006314F0"/>
    <w:rsid w:val="00633075"/>
    <w:rsid w:val="006338CF"/>
    <w:rsid w:val="00634491"/>
    <w:rsid w:val="0063496E"/>
    <w:rsid w:val="00634A0F"/>
    <w:rsid w:val="00634FC5"/>
    <w:rsid w:val="0063510A"/>
    <w:rsid w:val="00635F0D"/>
    <w:rsid w:val="006362F8"/>
    <w:rsid w:val="00636646"/>
    <w:rsid w:val="00636E2C"/>
    <w:rsid w:val="00637BBC"/>
    <w:rsid w:val="00640338"/>
    <w:rsid w:val="006403B1"/>
    <w:rsid w:val="0064091A"/>
    <w:rsid w:val="00641D21"/>
    <w:rsid w:val="00642571"/>
    <w:rsid w:val="006433A6"/>
    <w:rsid w:val="00643BDC"/>
    <w:rsid w:val="006459BC"/>
    <w:rsid w:val="006472E1"/>
    <w:rsid w:val="0064730F"/>
    <w:rsid w:val="0064751D"/>
    <w:rsid w:val="00647CF8"/>
    <w:rsid w:val="006508EB"/>
    <w:rsid w:val="006509C3"/>
    <w:rsid w:val="00650EB7"/>
    <w:rsid w:val="00652011"/>
    <w:rsid w:val="00652D95"/>
    <w:rsid w:val="006532E5"/>
    <w:rsid w:val="00653455"/>
    <w:rsid w:val="00653854"/>
    <w:rsid w:val="00653F58"/>
    <w:rsid w:val="00654C72"/>
    <w:rsid w:val="00655113"/>
    <w:rsid w:val="00655451"/>
    <w:rsid w:val="00655487"/>
    <w:rsid w:val="0065605F"/>
    <w:rsid w:val="0065672A"/>
    <w:rsid w:val="006575EC"/>
    <w:rsid w:val="006625BE"/>
    <w:rsid w:val="00663C1D"/>
    <w:rsid w:val="00664060"/>
    <w:rsid w:val="00665D30"/>
    <w:rsid w:val="00665FCB"/>
    <w:rsid w:val="006661B0"/>
    <w:rsid w:val="006661E6"/>
    <w:rsid w:val="00666474"/>
    <w:rsid w:val="0066767E"/>
    <w:rsid w:val="00671337"/>
    <w:rsid w:val="00671676"/>
    <w:rsid w:val="00671F00"/>
    <w:rsid w:val="006744FB"/>
    <w:rsid w:val="006750CC"/>
    <w:rsid w:val="00675406"/>
    <w:rsid w:val="0067555A"/>
    <w:rsid w:val="00675F52"/>
    <w:rsid w:val="00675FBD"/>
    <w:rsid w:val="00676841"/>
    <w:rsid w:val="00676B12"/>
    <w:rsid w:val="00676D80"/>
    <w:rsid w:val="0067750B"/>
    <w:rsid w:val="00677E7F"/>
    <w:rsid w:val="00680055"/>
    <w:rsid w:val="00680BA8"/>
    <w:rsid w:val="00681B67"/>
    <w:rsid w:val="00685184"/>
    <w:rsid w:val="006855AD"/>
    <w:rsid w:val="0068576B"/>
    <w:rsid w:val="00687FF7"/>
    <w:rsid w:val="0069027E"/>
    <w:rsid w:val="006903F7"/>
    <w:rsid w:val="00691271"/>
    <w:rsid w:val="00692129"/>
    <w:rsid w:val="006934A1"/>
    <w:rsid w:val="00694005"/>
    <w:rsid w:val="0069427F"/>
    <w:rsid w:val="00694552"/>
    <w:rsid w:val="00694DE3"/>
    <w:rsid w:val="0069513E"/>
    <w:rsid w:val="00695F54"/>
    <w:rsid w:val="00696614"/>
    <w:rsid w:val="006969FE"/>
    <w:rsid w:val="006977BD"/>
    <w:rsid w:val="00697C6A"/>
    <w:rsid w:val="00697F92"/>
    <w:rsid w:val="006A02E9"/>
    <w:rsid w:val="006A08F3"/>
    <w:rsid w:val="006A0E6D"/>
    <w:rsid w:val="006A34F5"/>
    <w:rsid w:val="006A365C"/>
    <w:rsid w:val="006A6127"/>
    <w:rsid w:val="006A6171"/>
    <w:rsid w:val="006A6F6C"/>
    <w:rsid w:val="006B0296"/>
    <w:rsid w:val="006B0301"/>
    <w:rsid w:val="006B0CCC"/>
    <w:rsid w:val="006B14A7"/>
    <w:rsid w:val="006B234D"/>
    <w:rsid w:val="006B243D"/>
    <w:rsid w:val="006B24AC"/>
    <w:rsid w:val="006B2A46"/>
    <w:rsid w:val="006B4656"/>
    <w:rsid w:val="006B486C"/>
    <w:rsid w:val="006B4C1E"/>
    <w:rsid w:val="006B6F22"/>
    <w:rsid w:val="006B7A80"/>
    <w:rsid w:val="006C004B"/>
    <w:rsid w:val="006C02D3"/>
    <w:rsid w:val="006C0607"/>
    <w:rsid w:val="006C07F7"/>
    <w:rsid w:val="006C09EE"/>
    <w:rsid w:val="006C0B51"/>
    <w:rsid w:val="006C0EC8"/>
    <w:rsid w:val="006C28E4"/>
    <w:rsid w:val="006C45F6"/>
    <w:rsid w:val="006C5C1E"/>
    <w:rsid w:val="006C6295"/>
    <w:rsid w:val="006C640D"/>
    <w:rsid w:val="006C68E9"/>
    <w:rsid w:val="006C6B52"/>
    <w:rsid w:val="006C6EAE"/>
    <w:rsid w:val="006C7315"/>
    <w:rsid w:val="006C7658"/>
    <w:rsid w:val="006C7D04"/>
    <w:rsid w:val="006D0388"/>
    <w:rsid w:val="006D0B38"/>
    <w:rsid w:val="006D0DB1"/>
    <w:rsid w:val="006D112C"/>
    <w:rsid w:val="006D1C74"/>
    <w:rsid w:val="006D1F7F"/>
    <w:rsid w:val="006D29F8"/>
    <w:rsid w:val="006D2ACC"/>
    <w:rsid w:val="006D3475"/>
    <w:rsid w:val="006D5611"/>
    <w:rsid w:val="006D62B1"/>
    <w:rsid w:val="006D6FFB"/>
    <w:rsid w:val="006D7201"/>
    <w:rsid w:val="006D7A35"/>
    <w:rsid w:val="006D7BE5"/>
    <w:rsid w:val="006E0177"/>
    <w:rsid w:val="006E03D3"/>
    <w:rsid w:val="006E06EE"/>
    <w:rsid w:val="006E17E4"/>
    <w:rsid w:val="006E1BE2"/>
    <w:rsid w:val="006E2E64"/>
    <w:rsid w:val="006E3893"/>
    <w:rsid w:val="006E436E"/>
    <w:rsid w:val="006E48E1"/>
    <w:rsid w:val="006E4A43"/>
    <w:rsid w:val="006E5CE8"/>
    <w:rsid w:val="006E60B5"/>
    <w:rsid w:val="006E7F7F"/>
    <w:rsid w:val="006F081E"/>
    <w:rsid w:val="006F0850"/>
    <w:rsid w:val="006F1406"/>
    <w:rsid w:val="006F1B36"/>
    <w:rsid w:val="006F2AE4"/>
    <w:rsid w:val="006F5533"/>
    <w:rsid w:val="006F63B9"/>
    <w:rsid w:val="006F6F17"/>
    <w:rsid w:val="006F7954"/>
    <w:rsid w:val="006F7DF7"/>
    <w:rsid w:val="00700D17"/>
    <w:rsid w:val="0070125A"/>
    <w:rsid w:val="0070194D"/>
    <w:rsid w:val="00701E27"/>
    <w:rsid w:val="007023D6"/>
    <w:rsid w:val="00703B71"/>
    <w:rsid w:val="0070431D"/>
    <w:rsid w:val="00706CB6"/>
    <w:rsid w:val="00707B08"/>
    <w:rsid w:val="0071027B"/>
    <w:rsid w:val="00711831"/>
    <w:rsid w:val="00711A7A"/>
    <w:rsid w:val="00712154"/>
    <w:rsid w:val="00712A0D"/>
    <w:rsid w:val="0071326C"/>
    <w:rsid w:val="00713BF7"/>
    <w:rsid w:val="00713EAE"/>
    <w:rsid w:val="00714709"/>
    <w:rsid w:val="0071542D"/>
    <w:rsid w:val="007176EF"/>
    <w:rsid w:val="00720504"/>
    <w:rsid w:val="00720D5A"/>
    <w:rsid w:val="00720EF3"/>
    <w:rsid w:val="00721CC0"/>
    <w:rsid w:val="00722B27"/>
    <w:rsid w:val="00722B5C"/>
    <w:rsid w:val="0072334B"/>
    <w:rsid w:val="007234EC"/>
    <w:rsid w:val="0072368E"/>
    <w:rsid w:val="007238D3"/>
    <w:rsid w:val="00724A78"/>
    <w:rsid w:val="00724E2E"/>
    <w:rsid w:val="0072590B"/>
    <w:rsid w:val="0072664E"/>
    <w:rsid w:val="00726A3B"/>
    <w:rsid w:val="007270B0"/>
    <w:rsid w:val="00727FBD"/>
    <w:rsid w:val="007306BF"/>
    <w:rsid w:val="0073142A"/>
    <w:rsid w:val="00731A0E"/>
    <w:rsid w:val="00731DC6"/>
    <w:rsid w:val="00732A9D"/>
    <w:rsid w:val="0073465B"/>
    <w:rsid w:val="00734AC0"/>
    <w:rsid w:val="00734CB5"/>
    <w:rsid w:val="00735278"/>
    <w:rsid w:val="007354A9"/>
    <w:rsid w:val="007359A2"/>
    <w:rsid w:val="00735B6D"/>
    <w:rsid w:val="007360AE"/>
    <w:rsid w:val="0073636F"/>
    <w:rsid w:val="00736F7A"/>
    <w:rsid w:val="00737532"/>
    <w:rsid w:val="007400ED"/>
    <w:rsid w:val="00740A41"/>
    <w:rsid w:val="00740FA4"/>
    <w:rsid w:val="00741C01"/>
    <w:rsid w:val="00741CCD"/>
    <w:rsid w:val="007421F3"/>
    <w:rsid w:val="007422FB"/>
    <w:rsid w:val="0074256B"/>
    <w:rsid w:val="00742A5C"/>
    <w:rsid w:val="00745B61"/>
    <w:rsid w:val="007471CA"/>
    <w:rsid w:val="007504C1"/>
    <w:rsid w:val="007505CE"/>
    <w:rsid w:val="00752445"/>
    <w:rsid w:val="00752466"/>
    <w:rsid w:val="007526A4"/>
    <w:rsid w:val="007528A4"/>
    <w:rsid w:val="00752C86"/>
    <w:rsid w:val="00753683"/>
    <w:rsid w:val="00753969"/>
    <w:rsid w:val="0075519D"/>
    <w:rsid w:val="007563D9"/>
    <w:rsid w:val="007567CB"/>
    <w:rsid w:val="00756CBD"/>
    <w:rsid w:val="00757837"/>
    <w:rsid w:val="00757977"/>
    <w:rsid w:val="0076050A"/>
    <w:rsid w:val="00760EDC"/>
    <w:rsid w:val="00761A0A"/>
    <w:rsid w:val="00763214"/>
    <w:rsid w:val="00764F76"/>
    <w:rsid w:val="007704D5"/>
    <w:rsid w:val="00770742"/>
    <w:rsid w:val="00770F98"/>
    <w:rsid w:val="0077233E"/>
    <w:rsid w:val="00772D4A"/>
    <w:rsid w:val="00773663"/>
    <w:rsid w:val="007748BD"/>
    <w:rsid w:val="00774B84"/>
    <w:rsid w:val="00774DB3"/>
    <w:rsid w:val="00775799"/>
    <w:rsid w:val="00776B2C"/>
    <w:rsid w:val="00777D59"/>
    <w:rsid w:val="00781045"/>
    <w:rsid w:val="0078125E"/>
    <w:rsid w:val="0078188A"/>
    <w:rsid w:val="007839BE"/>
    <w:rsid w:val="00784331"/>
    <w:rsid w:val="00785101"/>
    <w:rsid w:val="00785424"/>
    <w:rsid w:val="00785749"/>
    <w:rsid w:val="007857F5"/>
    <w:rsid w:val="007860B9"/>
    <w:rsid w:val="00786FE6"/>
    <w:rsid w:val="00790488"/>
    <w:rsid w:val="007911AC"/>
    <w:rsid w:val="0079133E"/>
    <w:rsid w:val="00791638"/>
    <w:rsid w:val="00792397"/>
    <w:rsid w:val="007944E2"/>
    <w:rsid w:val="007946F9"/>
    <w:rsid w:val="00794FF1"/>
    <w:rsid w:val="0079532A"/>
    <w:rsid w:val="00795367"/>
    <w:rsid w:val="007958EA"/>
    <w:rsid w:val="007960CF"/>
    <w:rsid w:val="007978C2"/>
    <w:rsid w:val="00797ED1"/>
    <w:rsid w:val="007A0531"/>
    <w:rsid w:val="007A055C"/>
    <w:rsid w:val="007A0601"/>
    <w:rsid w:val="007A1179"/>
    <w:rsid w:val="007A157F"/>
    <w:rsid w:val="007A1DFF"/>
    <w:rsid w:val="007A21AC"/>
    <w:rsid w:val="007A2C9C"/>
    <w:rsid w:val="007A3D03"/>
    <w:rsid w:val="007A3D1B"/>
    <w:rsid w:val="007A478A"/>
    <w:rsid w:val="007A48A9"/>
    <w:rsid w:val="007A4BE7"/>
    <w:rsid w:val="007A5102"/>
    <w:rsid w:val="007A5E52"/>
    <w:rsid w:val="007B0279"/>
    <w:rsid w:val="007B07A1"/>
    <w:rsid w:val="007B17FA"/>
    <w:rsid w:val="007B1EB8"/>
    <w:rsid w:val="007B24B3"/>
    <w:rsid w:val="007B2B78"/>
    <w:rsid w:val="007B2CA0"/>
    <w:rsid w:val="007B45CC"/>
    <w:rsid w:val="007B5C7C"/>
    <w:rsid w:val="007B6083"/>
    <w:rsid w:val="007B6545"/>
    <w:rsid w:val="007B6758"/>
    <w:rsid w:val="007B6838"/>
    <w:rsid w:val="007B70DF"/>
    <w:rsid w:val="007C0718"/>
    <w:rsid w:val="007C1F30"/>
    <w:rsid w:val="007C2A27"/>
    <w:rsid w:val="007C4459"/>
    <w:rsid w:val="007C4AA3"/>
    <w:rsid w:val="007C4CB5"/>
    <w:rsid w:val="007C580C"/>
    <w:rsid w:val="007C5E6C"/>
    <w:rsid w:val="007C68AB"/>
    <w:rsid w:val="007C6FCA"/>
    <w:rsid w:val="007C7531"/>
    <w:rsid w:val="007C7D62"/>
    <w:rsid w:val="007D029B"/>
    <w:rsid w:val="007D1D1B"/>
    <w:rsid w:val="007D200B"/>
    <w:rsid w:val="007D20F6"/>
    <w:rsid w:val="007D4006"/>
    <w:rsid w:val="007D53D4"/>
    <w:rsid w:val="007D6179"/>
    <w:rsid w:val="007D63F3"/>
    <w:rsid w:val="007D6888"/>
    <w:rsid w:val="007D69F5"/>
    <w:rsid w:val="007D69FE"/>
    <w:rsid w:val="007D6E08"/>
    <w:rsid w:val="007D7FA4"/>
    <w:rsid w:val="007E0B55"/>
    <w:rsid w:val="007E171F"/>
    <w:rsid w:val="007E17C8"/>
    <w:rsid w:val="007E1808"/>
    <w:rsid w:val="007E30EB"/>
    <w:rsid w:val="007E359D"/>
    <w:rsid w:val="007E35BE"/>
    <w:rsid w:val="007E392E"/>
    <w:rsid w:val="007E3C54"/>
    <w:rsid w:val="007E40C9"/>
    <w:rsid w:val="007E44F7"/>
    <w:rsid w:val="007E45E7"/>
    <w:rsid w:val="007E4C98"/>
    <w:rsid w:val="007E5A26"/>
    <w:rsid w:val="007E61B7"/>
    <w:rsid w:val="007E69C2"/>
    <w:rsid w:val="007E6E48"/>
    <w:rsid w:val="007F04DE"/>
    <w:rsid w:val="007F1B57"/>
    <w:rsid w:val="007F30A5"/>
    <w:rsid w:val="007F3FEC"/>
    <w:rsid w:val="007F5FE6"/>
    <w:rsid w:val="007F6C75"/>
    <w:rsid w:val="007F6E7B"/>
    <w:rsid w:val="007F7329"/>
    <w:rsid w:val="007F74D4"/>
    <w:rsid w:val="007F7EBA"/>
    <w:rsid w:val="00800EA5"/>
    <w:rsid w:val="00801870"/>
    <w:rsid w:val="00801BB0"/>
    <w:rsid w:val="00803121"/>
    <w:rsid w:val="00803891"/>
    <w:rsid w:val="008042FE"/>
    <w:rsid w:val="00804864"/>
    <w:rsid w:val="00805D4F"/>
    <w:rsid w:val="0080682E"/>
    <w:rsid w:val="00806F80"/>
    <w:rsid w:val="0080756B"/>
    <w:rsid w:val="008075C0"/>
    <w:rsid w:val="008114E4"/>
    <w:rsid w:val="00811A07"/>
    <w:rsid w:val="00812686"/>
    <w:rsid w:val="00812B2F"/>
    <w:rsid w:val="00812CB1"/>
    <w:rsid w:val="00815123"/>
    <w:rsid w:val="008168BA"/>
    <w:rsid w:val="008168F0"/>
    <w:rsid w:val="00816943"/>
    <w:rsid w:val="00816B4F"/>
    <w:rsid w:val="0081719D"/>
    <w:rsid w:val="008175A0"/>
    <w:rsid w:val="00817B53"/>
    <w:rsid w:val="00817E85"/>
    <w:rsid w:val="00820150"/>
    <w:rsid w:val="0082030E"/>
    <w:rsid w:val="00820433"/>
    <w:rsid w:val="0082084A"/>
    <w:rsid w:val="00821C44"/>
    <w:rsid w:val="00823768"/>
    <w:rsid w:val="008247DA"/>
    <w:rsid w:val="008251E2"/>
    <w:rsid w:val="00826C6C"/>
    <w:rsid w:val="00827352"/>
    <w:rsid w:val="00830B30"/>
    <w:rsid w:val="008351A7"/>
    <w:rsid w:val="0083535C"/>
    <w:rsid w:val="00835FBB"/>
    <w:rsid w:val="00836A8D"/>
    <w:rsid w:val="008370D2"/>
    <w:rsid w:val="008378E5"/>
    <w:rsid w:val="00837A4C"/>
    <w:rsid w:val="00837FF5"/>
    <w:rsid w:val="008405FF"/>
    <w:rsid w:val="00840673"/>
    <w:rsid w:val="0084076E"/>
    <w:rsid w:val="0084095A"/>
    <w:rsid w:val="00841E16"/>
    <w:rsid w:val="008421F3"/>
    <w:rsid w:val="008428DE"/>
    <w:rsid w:val="00842D56"/>
    <w:rsid w:val="008432A0"/>
    <w:rsid w:val="008438E4"/>
    <w:rsid w:val="00844D03"/>
    <w:rsid w:val="00845025"/>
    <w:rsid w:val="00845CA7"/>
    <w:rsid w:val="00845F11"/>
    <w:rsid w:val="00846760"/>
    <w:rsid w:val="00850833"/>
    <w:rsid w:val="00850E3D"/>
    <w:rsid w:val="00851B64"/>
    <w:rsid w:val="00852A36"/>
    <w:rsid w:val="0085375A"/>
    <w:rsid w:val="00853DA1"/>
    <w:rsid w:val="00853DEE"/>
    <w:rsid w:val="00854000"/>
    <w:rsid w:val="00854398"/>
    <w:rsid w:val="0085476C"/>
    <w:rsid w:val="00854A63"/>
    <w:rsid w:val="00855F64"/>
    <w:rsid w:val="0085636F"/>
    <w:rsid w:val="0085750C"/>
    <w:rsid w:val="00862A88"/>
    <w:rsid w:val="00865164"/>
    <w:rsid w:val="0086547A"/>
    <w:rsid w:val="00865CD5"/>
    <w:rsid w:val="008660E3"/>
    <w:rsid w:val="00866FD4"/>
    <w:rsid w:val="008672BD"/>
    <w:rsid w:val="008705A8"/>
    <w:rsid w:val="0087116C"/>
    <w:rsid w:val="00872A7F"/>
    <w:rsid w:val="0087387D"/>
    <w:rsid w:val="00873AFE"/>
    <w:rsid w:val="0087455E"/>
    <w:rsid w:val="00874A19"/>
    <w:rsid w:val="0087559D"/>
    <w:rsid w:val="008765B4"/>
    <w:rsid w:val="00880FD4"/>
    <w:rsid w:val="00881CAA"/>
    <w:rsid w:val="00882A5D"/>
    <w:rsid w:val="00882F2C"/>
    <w:rsid w:val="00883296"/>
    <w:rsid w:val="00885A48"/>
    <w:rsid w:val="008865D2"/>
    <w:rsid w:val="0088688F"/>
    <w:rsid w:val="0088697C"/>
    <w:rsid w:val="00887312"/>
    <w:rsid w:val="008874B7"/>
    <w:rsid w:val="00887A7B"/>
    <w:rsid w:val="008906A2"/>
    <w:rsid w:val="00891444"/>
    <w:rsid w:val="00891AA1"/>
    <w:rsid w:val="00891AF4"/>
    <w:rsid w:val="00891E99"/>
    <w:rsid w:val="008930A0"/>
    <w:rsid w:val="008932D5"/>
    <w:rsid w:val="00893336"/>
    <w:rsid w:val="0089338D"/>
    <w:rsid w:val="00893489"/>
    <w:rsid w:val="00893FC1"/>
    <w:rsid w:val="008943F5"/>
    <w:rsid w:val="00895564"/>
    <w:rsid w:val="00895820"/>
    <w:rsid w:val="008970CE"/>
    <w:rsid w:val="00897412"/>
    <w:rsid w:val="008974A9"/>
    <w:rsid w:val="00897638"/>
    <w:rsid w:val="00897EFB"/>
    <w:rsid w:val="008A0308"/>
    <w:rsid w:val="008A03B1"/>
    <w:rsid w:val="008A0D4E"/>
    <w:rsid w:val="008A0D8A"/>
    <w:rsid w:val="008A1967"/>
    <w:rsid w:val="008A1D7F"/>
    <w:rsid w:val="008A2EB5"/>
    <w:rsid w:val="008A34A4"/>
    <w:rsid w:val="008A49E1"/>
    <w:rsid w:val="008A5763"/>
    <w:rsid w:val="008A748D"/>
    <w:rsid w:val="008B17CE"/>
    <w:rsid w:val="008B23F1"/>
    <w:rsid w:val="008B400B"/>
    <w:rsid w:val="008B4AD3"/>
    <w:rsid w:val="008C05C7"/>
    <w:rsid w:val="008C10AE"/>
    <w:rsid w:val="008C223C"/>
    <w:rsid w:val="008C2B59"/>
    <w:rsid w:val="008C322E"/>
    <w:rsid w:val="008C513F"/>
    <w:rsid w:val="008C5612"/>
    <w:rsid w:val="008C5892"/>
    <w:rsid w:val="008C5F82"/>
    <w:rsid w:val="008C6760"/>
    <w:rsid w:val="008C6A94"/>
    <w:rsid w:val="008C7FE3"/>
    <w:rsid w:val="008D23A0"/>
    <w:rsid w:val="008D2716"/>
    <w:rsid w:val="008D2EA3"/>
    <w:rsid w:val="008D3C67"/>
    <w:rsid w:val="008D3CCA"/>
    <w:rsid w:val="008D4DC9"/>
    <w:rsid w:val="008D5409"/>
    <w:rsid w:val="008D6158"/>
    <w:rsid w:val="008D724D"/>
    <w:rsid w:val="008D7748"/>
    <w:rsid w:val="008E0581"/>
    <w:rsid w:val="008E0D08"/>
    <w:rsid w:val="008E0EB8"/>
    <w:rsid w:val="008E1487"/>
    <w:rsid w:val="008E1DB4"/>
    <w:rsid w:val="008E3E57"/>
    <w:rsid w:val="008E3EFE"/>
    <w:rsid w:val="008E3F6F"/>
    <w:rsid w:val="008E4F2D"/>
    <w:rsid w:val="008E60DB"/>
    <w:rsid w:val="008F09DB"/>
    <w:rsid w:val="008F0B4B"/>
    <w:rsid w:val="008F0D2B"/>
    <w:rsid w:val="008F1330"/>
    <w:rsid w:val="008F158C"/>
    <w:rsid w:val="008F3652"/>
    <w:rsid w:val="008F44A4"/>
    <w:rsid w:val="008F6100"/>
    <w:rsid w:val="008F6624"/>
    <w:rsid w:val="008F6F9E"/>
    <w:rsid w:val="008F7D1B"/>
    <w:rsid w:val="00901042"/>
    <w:rsid w:val="00901590"/>
    <w:rsid w:val="00901AF3"/>
    <w:rsid w:val="00903522"/>
    <w:rsid w:val="00903C62"/>
    <w:rsid w:val="00903F3F"/>
    <w:rsid w:val="00904DBE"/>
    <w:rsid w:val="00904E26"/>
    <w:rsid w:val="009059D5"/>
    <w:rsid w:val="009066E9"/>
    <w:rsid w:val="00907260"/>
    <w:rsid w:val="00910127"/>
    <w:rsid w:val="009102B2"/>
    <w:rsid w:val="00910C32"/>
    <w:rsid w:val="00911BC0"/>
    <w:rsid w:val="00913372"/>
    <w:rsid w:val="00913529"/>
    <w:rsid w:val="0091363C"/>
    <w:rsid w:val="00914157"/>
    <w:rsid w:val="009141FD"/>
    <w:rsid w:val="0091501E"/>
    <w:rsid w:val="00915125"/>
    <w:rsid w:val="009157C6"/>
    <w:rsid w:val="00915AD7"/>
    <w:rsid w:val="00916D72"/>
    <w:rsid w:val="00916DF9"/>
    <w:rsid w:val="00917F8E"/>
    <w:rsid w:val="00920A61"/>
    <w:rsid w:val="00920A9D"/>
    <w:rsid w:val="00920B46"/>
    <w:rsid w:val="00920D0F"/>
    <w:rsid w:val="00920FFE"/>
    <w:rsid w:val="00921295"/>
    <w:rsid w:val="0092245E"/>
    <w:rsid w:val="0092254B"/>
    <w:rsid w:val="00922999"/>
    <w:rsid w:val="00923993"/>
    <w:rsid w:val="00923DA3"/>
    <w:rsid w:val="0092408D"/>
    <w:rsid w:val="009248E0"/>
    <w:rsid w:val="00925455"/>
    <w:rsid w:val="0092555A"/>
    <w:rsid w:val="0092562D"/>
    <w:rsid w:val="009256F1"/>
    <w:rsid w:val="00925EF2"/>
    <w:rsid w:val="00926067"/>
    <w:rsid w:val="009265D5"/>
    <w:rsid w:val="00927C19"/>
    <w:rsid w:val="00930C2A"/>
    <w:rsid w:val="00930DB0"/>
    <w:rsid w:val="00931CE0"/>
    <w:rsid w:val="00931D87"/>
    <w:rsid w:val="00931EA0"/>
    <w:rsid w:val="009320AC"/>
    <w:rsid w:val="00932301"/>
    <w:rsid w:val="009323FD"/>
    <w:rsid w:val="00932908"/>
    <w:rsid w:val="009329FB"/>
    <w:rsid w:val="00932AE2"/>
    <w:rsid w:val="0093532E"/>
    <w:rsid w:val="009354CF"/>
    <w:rsid w:val="00935EDA"/>
    <w:rsid w:val="0093618C"/>
    <w:rsid w:val="0094167C"/>
    <w:rsid w:val="00941E0E"/>
    <w:rsid w:val="00941FCC"/>
    <w:rsid w:val="009424F1"/>
    <w:rsid w:val="009429F8"/>
    <w:rsid w:val="0094342B"/>
    <w:rsid w:val="009436AB"/>
    <w:rsid w:val="00943F26"/>
    <w:rsid w:val="00944800"/>
    <w:rsid w:val="009448B5"/>
    <w:rsid w:val="00945B09"/>
    <w:rsid w:val="009460FA"/>
    <w:rsid w:val="0094635C"/>
    <w:rsid w:val="00946A13"/>
    <w:rsid w:val="00947623"/>
    <w:rsid w:val="009506C1"/>
    <w:rsid w:val="00951073"/>
    <w:rsid w:val="00951446"/>
    <w:rsid w:val="00951CC5"/>
    <w:rsid w:val="00951DEA"/>
    <w:rsid w:val="009521B3"/>
    <w:rsid w:val="00956310"/>
    <w:rsid w:val="00957279"/>
    <w:rsid w:val="00961DE8"/>
    <w:rsid w:val="00961FBA"/>
    <w:rsid w:val="009628B0"/>
    <w:rsid w:val="00963644"/>
    <w:rsid w:val="00964A63"/>
    <w:rsid w:val="009650FD"/>
    <w:rsid w:val="00966086"/>
    <w:rsid w:val="0096711C"/>
    <w:rsid w:val="00967A44"/>
    <w:rsid w:val="00971031"/>
    <w:rsid w:val="00972E7A"/>
    <w:rsid w:val="00973578"/>
    <w:rsid w:val="009739C4"/>
    <w:rsid w:val="00973CC9"/>
    <w:rsid w:val="00974077"/>
    <w:rsid w:val="00974661"/>
    <w:rsid w:val="0097486C"/>
    <w:rsid w:val="00974AD7"/>
    <w:rsid w:val="00975402"/>
    <w:rsid w:val="00976CCD"/>
    <w:rsid w:val="00976D25"/>
    <w:rsid w:val="009774D1"/>
    <w:rsid w:val="00980156"/>
    <w:rsid w:val="00980F36"/>
    <w:rsid w:val="00983777"/>
    <w:rsid w:val="00983DED"/>
    <w:rsid w:val="009842DE"/>
    <w:rsid w:val="00985475"/>
    <w:rsid w:val="00985C33"/>
    <w:rsid w:val="009864DB"/>
    <w:rsid w:val="00987357"/>
    <w:rsid w:val="009903B6"/>
    <w:rsid w:val="009903FA"/>
    <w:rsid w:val="009908EB"/>
    <w:rsid w:val="00990928"/>
    <w:rsid w:val="009914B5"/>
    <w:rsid w:val="00991737"/>
    <w:rsid w:val="00992D41"/>
    <w:rsid w:val="00993749"/>
    <w:rsid w:val="00994548"/>
    <w:rsid w:val="009967FD"/>
    <w:rsid w:val="009A0453"/>
    <w:rsid w:val="009A0A54"/>
    <w:rsid w:val="009A2917"/>
    <w:rsid w:val="009A32FD"/>
    <w:rsid w:val="009A33F9"/>
    <w:rsid w:val="009A389F"/>
    <w:rsid w:val="009A3D56"/>
    <w:rsid w:val="009A4D83"/>
    <w:rsid w:val="009A5AB9"/>
    <w:rsid w:val="009A67CD"/>
    <w:rsid w:val="009A7C5B"/>
    <w:rsid w:val="009A7E6C"/>
    <w:rsid w:val="009B034E"/>
    <w:rsid w:val="009B25AF"/>
    <w:rsid w:val="009B2686"/>
    <w:rsid w:val="009B3056"/>
    <w:rsid w:val="009B3060"/>
    <w:rsid w:val="009B337D"/>
    <w:rsid w:val="009B3C4B"/>
    <w:rsid w:val="009B40A3"/>
    <w:rsid w:val="009B4143"/>
    <w:rsid w:val="009B641D"/>
    <w:rsid w:val="009B6E2A"/>
    <w:rsid w:val="009B6E6C"/>
    <w:rsid w:val="009B7336"/>
    <w:rsid w:val="009B74D1"/>
    <w:rsid w:val="009C2A19"/>
    <w:rsid w:val="009C2AE9"/>
    <w:rsid w:val="009C2E34"/>
    <w:rsid w:val="009C3214"/>
    <w:rsid w:val="009C4408"/>
    <w:rsid w:val="009C5225"/>
    <w:rsid w:val="009C5304"/>
    <w:rsid w:val="009C5D06"/>
    <w:rsid w:val="009C67BC"/>
    <w:rsid w:val="009C7C23"/>
    <w:rsid w:val="009D12D2"/>
    <w:rsid w:val="009D1F93"/>
    <w:rsid w:val="009D2816"/>
    <w:rsid w:val="009D292D"/>
    <w:rsid w:val="009D376E"/>
    <w:rsid w:val="009D473C"/>
    <w:rsid w:val="009D53FA"/>
    <w:rsid w:val="009D54BB"/>
    <w:rsid w:val="009D5DA6"/>
    <w:rsid w:val="009D5E2F"/>
    <w:rsid w:val="009D6AB5"/>
    <w:rsid w:val="009D6C12"/>
    <w:rsid w:val="009D7181"/>
    <w:rsid w:val="009E0704"/>
    <w:rsid w:val="009E0794"/>
    <w:rsid w:val="009E0D4E"/>
    <w:rsid w:val="009E1E9E"/>
    <w:rsid w:val="009E383E"/>
    <w:rsid w:val="009E4129"/>
    <w:rsid w:val="009E4BBE"/>
    <w:rsid w:val="009E4F56"/>
    <w:rsid w:val="009E57E2"/>
    <w:rsid w:val="009E5DB5"/>
    <w:rsid w:val="009E640D"/>
    <w:rsid w:val="009E6422"/>
    <w:rsid w:val="009E668D"/>
    <w:rsid w:val="009E6828"/>
    <w:rsid w:val="009E7DFD"/>
    <w:rsid w:val="009F24BD"/>
    <w:rsid w:val="009F2C56"/>
    <w:rsid w:val="009F2DC5"/>
    <w:rsid w:val="009F3F57"/>
    <w:rsid w:val="009F6610"/>
    <w:rsid w:val="009F6829"/>
    <w:rsid w:val="009F6A28"/>
    <w:rsid w:val="009F6CE4"/>
    <w:rsid w:val="009F7A1D"/>
    <w:rsid w:val="00A01474"/>
    <w:rsid w:val="00A0205E"/>
    <w:rsid w:val="00A020AB"/>
    <w:rsid w:val="00A02EBE"/>
    <w:rsid w:val="00A036D2"/>
    <w:rsid w:val="00A04068"/>
    <w:rsid w:val="00A04318"/>
    <w:rsid w:val="00A06E05"/>
    <w:rsid w:val="00A0756A"/>
    <w:rsid w:val="00A1053B"/>
    <w:rsid w:val="00A108B1"/>
    <w:rsid w:val="00A1165D"/>
    <w:rsid w:val="00A11A97"/>
    <w:rsid w:val="00A12464"/>
    <w:rsid w:val="00A13C0A"/>
    <w:rsid w:val="00A13CCD"/>
    <w:rsid w:val="00A13CFB"/>
    <w:rsid w:val="00A13D2D"/>
    <w:rsid w:val="00A140B0"/>
    <w:rsid w:val="00A14546"/>
    <w:rsid w:val="00A14748"/>
    <w:rsid w:val="00A14D98"/>
    <w:rsid w:val="00A16438"/>
    <w:rsid w:val="00A167CB"/>
    <w:rsid w:val="00A1731B"/>
    <w:rsid w:val="00A17369"/>
    <w:rsid w:val="00A2023D"/>
    <w:rsid w:val="00A204B3"/>
    <w:rsid w:val="00A20945"/>
    <w:rsid w:val="00A20EE0"/>
    <w:rsid w:val="00A210D8"/>
    <w:rsid w:val="00A21A90"/>
    <w:rsid w:val="00A21F35"/>
    <w:rsid w:val="00A241C7"/>
    <w:rsid w:val="00A24765"/>
    <w:rsid w:val="00A24810"/>
    <w:rsid w:val="00A24E9C"/>
    <w:rsid w:val="00A254DF"/>
    <w:rsid w:val="00A2565F"/>
    <w:rsid w:val="00A257DA"/>
    <w:rsid w:val="00A26768"/>
    <w:rsid w:val="00A2682C"/>
    <w:rsid w:val="00A2770A"/>
    <w:rsid w:val="00A279D5"/>
    <w:rsid w:val="00A30476"/>
    <w:rsid w:val="00A30558"/>
    <w:rsid w:val="00A30BD6"/>
    <w:rsid w:val="00A30F01"/>
    <w:rsid w:val="00A326D6"/>
    <w:rsid w:val="00A32B20"/>
    <w:rsid w:val="00A33E19"/>
    <w:rsid w:val="00A3437C"/>
    <w:rsid w:val="00A343E1"/>
    <w:rsid w:val="00A34B8F"/>
    <w:rsid w:val="00A34BDB"/>
    <w:rsid w:val="00A35A3A"/>
    <w:rsid w:val="00A3625E"/>
    <w:rsid w:val="00A3691B"/>
    <w:rsid w:val="00A369CC"/>
    <w:rsid w:val="00A40408"/>
    <w:rsid w:val="00A41202"/>
    <w:rsid w:val="00A41A68"/>
    <w:rsid w:val="00A42C0E"/>
    <w:rsid w:val="00A42CFA"/>
    <w:rsid w:val="00A44308"/>
    <w:rsid w:val="00A44C7A"/>
    <w:rsid w:val="00A45121"/>
    <w:rsid w:val="00A46C83"/>
    <w:rsid w:val="00A46DA2"/>
    <w:rsid w:val="00A47BE7"/>
    <w:rsid w:val="00A52376"/>
    <w:rsid w:val="00A52BA9"/>
    <w:rsid w:val="00A530A4"/>
    <w:rsid w:val="00A5323E"/>
    <w:rsid w:val="00A5333D"/>
    <w:rsid w:val="00A541B8"/>
    <w:rsid w:val="00A54371"/>
    <w:rsid w:val="00A56358"/>
    <w:rsid w:val="00A569C2"/>
    <w:rsid w:val="00A56CD7"/>
    <w:rsid w:val="00A572EE"/>
    <w:rsid w:val="00A6039F"/>
    <w:rsid w:val="00A60A60"/>
    <w:rsid w:val="00A60F8C"/>
    <w:rsid w:val="00A61304"/>
    <w:rsid w:val="00A61CFE"/>
    <w:rsid w:val="00A6226F"/>
    <w:rsid w:val="00A62AC0"/>
    <w:rsid w:val="00A62D6B"/>
    <w:rsid w:val="00A62E37"/>
    <w:rsid w:val="00A631FF"/>
    <w:rsid w:val="00A63336"/>
    <w:rsid w:val="00A63982"/>
    <w:rsid w:val="00A7085D"/>
    <w:rsid w:val="00A70A3B"/>
    <w:rsid w:val="00A71360"/>
    <w:rsid w:val="00A72DC9"/>
    <w:rsid w:val="00A73BA1"/>
    <w:rsid w:val="00A73BA6"/>
    <w:rsid w:val="00A73C6F"/>
    <w:rsid w:val="00A744AC"/>
    <w:rsid w:val="00A76DD3"/>
    <w:rsid w:val="00A80273"/>
    <w:rsid w:val="00A81A0D"/>
    <w:rsid w:val="00A8288B"/>
    <w:rsid w:val="00A83960"/>
    <w:rsid w:val="00A84F7F"/>
    <w:rsid w:val="00A85242"/>
    <w:rsid w:val="00A86135"/>
    <w:rsid w:val="00A86E3B"/>
    <w:rsid w:val="00A87655"/>
    <w:rsid w:val="00A87C3B"/>
    <w:rsid w:val="00A87E4A"/>
    <w:rsid w:val="00A87FC6"/>
    <w:rsid w:val="00A91089"/>
    <w:rsid w:val="00A9127C"/>
    <w:rsid w:val="00A92721"/>
    <w:rsid w:val="00A92BE0"/>
    <w:rsid w:val="00A92CA9"/>
    <w:rsid w:val="00A9388E"/>
    <w:rsid w:val="00A93991"/>
    <w:rsid w:val="00A9428D"/>
    <w:rsid w:val="00A942EE"/>
    <w:rsid w:val="00A96EFC"/>
    <w:rsid w:val="00A97D67"/>
    <w:rsid w:val="00A97EC9"/>
    <w:rsid w:val="00AA104D"/>
    <w:rsid w:val="00AA12AA"/>
    <w:rsid w:val="00AA35B9"/>
    <w:rsid w:val="00AA3A59"/>
    <w:rsid w:val="00AA4536"/>
    <w:rsid w:val="00AA4E22"/>
    <w:rsid w:val="00AA53DC"/>
    <w:rsid w:val="00AA5939"/>
    <w:rsid w:val="00AA618D"/>
    <w:rsid w:val="00AA707A"/>
    <w:rsid w:val="00AA735B"/>
    <w:rsid w:val="00AA77E0"/>
    <w:rsid w:val="00AA7A49"/>
    <w:rsid w:val="00AB02A6"/>
    <w:rsid w:val="00AB0931"/>
    <w:rsid w:val="00AB1068"/>
    <w:rsid w:val="00AB1085"/>
    <w:rsid w:val="00AB177C"/>
    <w:rsid w:val="00AB1789"/>
    <w:rsid w:val="00AB25F1"/>
    <w:rsid w:val="00AB37C4"/>
    <w:rsid w:val="00AB44EE"/>
    <w:rsid w:val="00AB4AAC"/>
    <w:rsid w:val="00AB633C"/>
    <w:rsid w:val="00AB654D"/>
    <w:rsid w:val="00AB6DD4"/>
    <w:rsid w:val="00AB7333"/>
    <w:rsid w:val="00AB7ABA"/>
    <w:rsid w:val="00AC0718"/>
    <w:rsid w:val="00AC245A"/>
    <w:rsid w:val="00AC2857"/>
    <w:rsid w:val="00AC4017"/>
    <w:rsid w:val="00AC5121"/>
    <w:rsid w:val="00AC51C9"/>
    <w:rsid w:val="00AC7539"/>
    <w:rsid w:val="00AC7B38"/>
    <w:rsid w:val="00AD01B0"/>
    <w:rsid w:val="00AD01E3"/>
    <w:rsid w:val="00AD0A73"/>
    <w:rsid w:val="00AD20BA"/>
    <w:rsid w:val="00AD2603"/>
    <w:rsid w:val="00AD2A65"/>
    <w:rsid w:val="00AD3A3E"/>
    <w:rsid w:val="00AD43EB"/>
    <w:rsid w:val="00AD545A"/>
    <w:rsid w:val="00AD5A25"/>
    <w:rsid w:val="00AD5D2C"/>
    <w:rsid w:val="00AD5E62"/>
    <w:rsid w:val="00AD632C"/>
    <w:rsid w:val="00AD6771"/>
    <w:rsid w:val="00AD6B49"/>
    <w:rsid w:val="00AD6C81"/>
    <w:rsid w:val="00AD6E50"/>
    <w:rsid w:val="00AE0152"/>
    <w:rsid w:val="00AE02A6"/>
    <w:rsid w:val="00AE040B"/>
    <w:rsid w:val="00AE0DE0"/>
    <w:rsid w:val="00AE142E"/>
    <w:rsid w:val="00AE2773"/>
    <w:rsid w:val="00AE2868"/>
    <w:rsid w:val="00AE345C"/>
    <w:rsid w:val="00AE36B5"/>
    <w:rsid w:val="00AE3A12"/>
    <w:rsid w:val="00AE5841"/>
    <w:rsid w:val="00AE5C0D"/>
    <w:rsid w:val="00AE6576"/>
    <w:rsid w:val="00AF0074"/>
    <w:rsid w:val="00AF0773"/>
    <w:rsid w:val="00AF1451"/>
    <w:rsid w:val="00AF184D"/>
    <w:rsid w:val="00AF283B"/>
    <w:rsid w:val="00AF29E6"/>
    <w:rsid w:val="00AF3F3A"/>
    <w:rsid w:val="00AF5468"/>
    <w:rsid w:val="00AF553A"/>
    <w:rsid w:val="00AF57DD"/>
    <w:rsid w:val="00AF6E48"/>
    <w:rsid w:val="00AF75A5"/>
    <w:rsid w:val="00AF78E9"/>
    <w:rsid w:val="00AF7D16"/>
    <w:rsid w:val="00B006E2"/>
    <w:rsid w:val="00B012C2"/>
    <w:rsid w:val="00B0266D"/>
    <w:rsid w:val="00B0274D"/>
    <w:rsid w:val="00B03117"/>
    <w:rsid w:val="00B0374D"/>
    <w:rsid w:val="00B0535A"/>
    <w:rsid w:val="00B058AD"/>
    <w:rsid w:val="00B05BA0"/>
    <w:rsid w:val="00B06F7F"/>
    <w:rsid w:val="00B07BA3"/>
    <w:rsid w:val="00B100FD"/>
    <w:rsid w:val="00B10420"/>
    <w:rsid w:val="00B10A67"/>
    <w:rsid w:val="00B119D9"/>
    <w:rsid w:val="00B131F9"/>
    <w:rsid w:val="00B1394D"/>
    <w:rsid w:val="00B14B9C"/>
    <w:rsid w:val="00B155B0"/>
    <w:rsid w:val="00B15E59"/>
    <w:rsid w:val="00B16D9E"/>
    <w:rsid w:val="00B20277"/>
    <w:rsid w:val="00B20422"/>
    <w:rsid w:val="00B20B95"/>
    <w:rsid w:val="00B2350E"/>
    <w:rsid w:val="00B235EE"/>
    <w:rsid w:val="00B245AE"/>
    <w:rsid w:val="00B247FA"/>
    <w:rsid w:val="00B24871"/>
    <w:rsid w:val="00B25A04"/>
    <w:rsid w:val="00B264C2"/>
    <w:rsid w:val="00B272FC"/>
    <w:rsid w:val="00B27832"/>
    <w:rsid w:val="00B30936"/>
    <w:rsid w:val="00B30A20"/>
    <w:rsid w:val="00B30B21"/>
    <w:rsid w:val="00B30DEB"/>
    <w:rsid w:val="00B322B4"/>
    <w:rsid w:val="00B32EB0"/>
    <w:rsid w:val="00B33314"/>
    <w:rsid w:val="00B3333E"/>
    <w:rsid w:val="00B347FC"/>
    <w:rsid w:val="00B3556A"/>
    <w:rsid w:val="00B35677"/>
    <w:rsid w:val="00B3783B"/>
    <w:rsid w:val="00B40A36"/>
    <w:rsid w:val="00B413CA"/>
    <w:rsid w:val="00B416F4"/>
    <w:rsid w:val="00B41DAC"/>
    <w:rsid w:val="00B41E01"/>
    <w:rsid w:val="00B41E46"/>
    <w:rsid w:val="00B4220C"/>
    <w:rsid w:val="00B43986"/>
    <w:rsid w:val="00B43A3C"/>
    <w:rsid w:val="00B43AD6"/>
    <w:rsid w:val="00B43B37"/>
    <w:rsid w:val="00B4417C"/>
    <w:rsid w:val="00B4493F"/>
    <w:rsid w:val="00B44BB7"/>
    <w:rsid w:val="00B4590D"/>
    <w:rsid w:val="00B46A31"/>
    <w:rsid w:val="00B4737A"/>
    <w:rsid w:val="00B47917"/>
    <w:rsid w:val="00B47D86"/>
    <w:rsid w:val="00B50047"/>
    <w:rsid w:val="00B50BE4"/>
    <w:rsid w:val="00B512A3"/>
    <w:rsid w:val="00B53F04"/>
    <w:rsid w:val="00B554A2"/>
    <w:rsid w:val="00B555B4"/>
    <w:rsid w:val="00B5678A"/>
    <w:rsid w:val="00B57E66"/>
    <w:rsid w:val="00B57F75"/>
    <w:rsid w:val="00B60DB4"/>
    <w:rsid w:val="00B6211A"/>
    <w:rsid w:val="00B62208"/>
    <w:rsid w:val="00B623E2"/>
    <w:rsid w:val="00B62DAD"/>
    <w:rsid w:val="00B6392A"/>
    <w:rsid w:val="00B65416"/>
    <w:rsid w:val="00B65C7D"/>
    <w:rsid w:val="00B67562"/>
    <w:rsid w:val="00B709A7"/>
    <w:rsid w:val="00B709DC"/>
    <w:rsid w:val="00B716D9"/>
    <w:rsid w:val="00B7178F"/>
    <w:rsid w:val="00B72287"/>
    <w:rsid w:val="00B72526"/>
    <w:rsid w:val="00B725DE"/>
    <w:rsid w:val="00B746EC"/>
    <w:rsid w:val="00B748A7"/>
    <w:rsid w:val="00B74B1E"/>
    <w:rsid w:val="00B74C71"/>
    <w:rsid w:val="00B74D1B"/>
    <w:rsid w:val="00B757C1"/>
    <w:rsid w:val="00B7770B"/>
    <w:rsid w:val="00B80C03"/>
    <w:rsid w:val="00B82201"/>
    <w:rsid w:val="00B82E9A"/>
    <w:rsid w:val="00B83B11"/>
    <w:rsid w:val="00B83C13"/>
    <w:rsid w:val="00B83DB4"/>
    <w:rsid w:val="00B85AC6"/>
    <w:rsid w:val="00B87322"/>
    <w:rsid w:val="00B878F2"/>
    <w:rsid w:val="00B91528"/>
    <w:rsid w:val="00B9191B"/>
    <w:rsid w:val="00B93EF1"/>
    <w:rsid w:val="00B94D80"/>
    <w:rsid w:val="00B95718"/>
    <w:rsid w:val="00B97481"/>
    <w:rsid w:val="00B97AF1"/>
    <w:rsid w:val="00BA0E08"/>
    <w:rsid w:val="00BA17F1"/>
    <w:rsid w:val="00BA18E8"/>
    <w:rsid w:val="00BA1992"/>
    <w:rsid w:val="00BA1A29"/>
    <w:rsid w:val="00BA2097"/>
    <w:rsid w:val="00BA210B"/>
    <w:rsid w:val="00BA218D"/>
    <w:rsid w:val="00BA233A"/>
    <w:rsid w:val="00BA29CE"/>
    <w:rsid w:val="00BA2D89"/>
    <w:rsid w:val="00BA4B26"/>
    <w:rsid w:val="00BA5015"/>
    <w:rsid w:val="00BA5942"/>
    <w:rsid w:val="00BB115D"/>
    <w:rsid w:val="00BB1185"/>
    <w:rsid w:val="00BB26D4"/>
    <w:rsid w:val="00BB3018"/>
    <w:rsid w:val="00BB43E6"/>
    <w:rsid w:val="00BB52BA"/>
    <w:rsid w:val="00BB57FF"/>
    <w:rsid w:val="00BB6A2B"/>
    <w:rsid w:val="00BB75CA"/>
    <w:rsid w:val="00BC05E9"/>
    <w:rsid w:val="00BC2319"/>
    <w:rsid w:val="00BC2E77"/>
    <w:rsid w:val="00BC5394"/>
    <w:rsid w:val="00BC74B7"/>
    <w:rsid w:val="00BC7CAC"/>
    <w:rsid w:val="00BD1273"/>
    <w:rsid w:val="00BD1486"/>
    <w:rsid w:val="00BD2836"/>
    <w:rsid w:val="00BD3F90"/>
    <w:rsid w:val="00BD48F6"/>
    <w:rsid w:val="00BD4AB6"/>
    <w:rsid w:val="00BD77DE"/>
    <w:rsid w:val="00BD7E60"/>
    <w:rsid w:val="00BE01AD"/>
    <w:rsid w:val="00BE1333"/>
    <w:rsid w:val="00BE2847"/>
    <w:rsid w:val="00BE4632"/>
    <w:rsid w:val="00BE49A7"/>
    <w:rsid w:val="00BE57B1"/>
    <w:rsid w:val="00BE5ABB"/>
    <w:rsid w:val="00BE5BF2"/>
    <w:rsid w:val="00BE6E05"/>
    <w:rsid w:val="00BE770F"/>
    <w:rsid w:val="00BF0A2E"/>
    <w:rsid w:val="00BF0FD3"/>
    <w:rsid w:val="00BF1A52"/>
    <w:rsid w:val="00BF1C27"/>
    <w:rsid w:val="00BF1CE3"/>
    <w:rsid w:val="00BF28D9"/>
    <w:rsid w:val="00BF2B1F"/>
    <w:rsid w:val="00BF5D15"/>
    <w:rsid w:val="00BF6176"/>
    <w:rsid w:val="00BF73BF"/>
    <w:rsid w:val="00BF74E8"/>
    <w:rsid w:val="00BF7967"/>
    <w:rsid w:val="00C00852"/>
    <w:rsid w:val="00C015B4"/>
    <w:rsid w:val="00C016B4"/>
    <w:rsid w:val="00C01CAD"/>
    <w:rsid w:val="00C02183"/>
    <w:rsid w:val="00C021FA"/>
    <w:rsid w:val="00C02BE8"/>
    <w:rsid w:val="00C030ED"/>
    <w:rsid w:val="00C05168"/>
    <w:rsid w:val="00C06837"/>
    <w:rsid w:val="00C077E1"/>
    <w:rsid w:val="00C1027C"/>
    <w:rsid w:val="00C13902"/>
    <w:rsid w:val="00C14046"/>
    <w:rsid w:val="00C14315"/>
    <w:rsid w:val="00C14968"/>
    <w:rsid w:val="00C153B7"/>
    <w:rsid w:val="00C15B5B"/>
    <w:rsid w:val="00C16C3C"/>
    <w:rsid w:val="00C2242A"/>
    <w:rsid w:val="00C22BEF"/>
    <w:rsid w:val="00C2335C"/>
    <w:rsid w:val="00C23570"/>
    <w:rsid w:val="00C2371C"/>
    <w:rsid w:val="00C2476B"/>
    <w:rsid w:val="00C268FC"/>
    <w:rsid w:val="00C30B33"/>
    <w:rsid w:val="00C30CAB"/>
    <w:rsid w:val="00C3122C"/>
    <w:rsid w:val="00C3199B"/>
    <w:rsid w:val="00C32E57"/>
    <w:rsid w:val="00C33582"/>
    <w:rsid w:val="00C340F0"/>
    <w:rsid w:val="00C34AFD"/>
    <w:rsid w:val="00C35635"/>
    <w:rsid w:val="00C35EDC"/>
    <w:rsid w:val="00C36C98"/>
    <w:rsid w:val="00C36E93"/>
    <w:rsid w:val="00C40F76"/>
    <w:rsid w:val="00C41945"/>
    <w:rsid w:val="00C41C05"/>
    <w:rsid w:val="00C4357B"/>
    <w:rsid w:val="00C43B73"/>
    <w:rsid w:val="00C44546"/>
    <w:rsid w:val="00C4475A"/>
    <w:rsid w:val="00C45769"/>
    <w:rsid w:val="00C46659"/>
    <w:rsid w:val="00C47776"/>
    <w:rsid w:val="00C51307"/>
    <w:rsid w:val="00C51368"/>
    <w:rsid w:val="00C51661"/>
    <w:rsid w:val="00C52BC0"/>
    <w:rsid w:val="00C53AA9"/>
    <w:rsid w:val="00C54817"/>
    <w:rsid w:val="00C556D4"/>
    <w:rsid w:val="00C572A1"/>
    <w:rsid w:val="00C57AD3"/>
    <w:rsid w:val="00C6108F"/>
    <w:rsid w:val="00C61639"/>
    <w:rsid w:val="00C62032"/>
    <w:rsid w:val="00C62D2B"/>
    <w:rsid w:val="00C64494"/>
    <w:rsid w:val="00C646CE"/>
    <w:rsid w:val="00C64AC6"/>
    <w:rsid w:val="00C64C5F"/>
    <w:rsid w:val="00C64E36"/>
    <w:rsid w:val="00C670B9"/>
    <w:rsid w:val="00C67608"/>
    <w:rsid w:val="00C676B5"/>
    <w:rsid w:val="00C67824"/>
    <w:rsid w:val="00C67AF0"/>
    <w:rsid w:val="00C67D94"/>
    <w:rsid w:val="00C7047D"/>
    <w:rsid w:val="00C70657"/>
    <w:rsid w:val="00C7093D"/>
    <w:rsid w:val="00C70BDF"/>
    <w:rsid w:val="00C70F7B"/>
    <w:rsid w:val="00C70FAA"/>
    <w:rsid w:val="00C71486"/>
    <w:rsid w:val="00C716D9"/>
    <w:rsid w:val="00C72726"/>
    <w:rsid w:val="00C74833"/>
    <w:rsid w:val="00C75EE2"/>
    <w:rsid w:val="00C75F67"/>
    <w:rsid w:val="00C770F5"/>
    <w:rsid w:val="00C82387"/>
    <w:rsid w:val="00C82E96"/>
    <w:rsid w:val="00C83634"/>
    <w:rsid w:val="00C83A98"/>
    <w:rsid w:val="00C83EFB"/>
    <w:rsid w:val="00C84949"/>
    <w:rsid w:val="00C850AD"/>
    <w:rsid w:val="00C85652"/>
    <w:rsid w:val="00C8646D"/>
    <w:rsid w:val="00C86807"/>
    <w:rsid w:val="00C86DF8"/>
    <w:rsid w:val="00C87315"/>
    <w:rsid w:val="00C8772A"/>
    <w:rsid w:val="00C87A96"/>
    <w:rsid w:val="00C90BA9"/>
    <w:rsid w:val="00C92590"/>
    <w:rsid w:val="00C9289D"/>
    <w:rsid w:val="00C948CC"/>
    <w:rsid w:val="00C954F7"/>
    <w:rsid w:val="00C95980"/>
    <w:rsid w:val="00C965C7"/>
    <w:rsid w:val="00C9678E"/>
    <w:rsid w:val="00C97342"/>
    <w:rsid w:val="00C97E0B"/>
    <w:rsid w:val="00CA00D3"/>
    <w:rsid w:val="00CA0169"/>
    <w:rsid w:val="00CA041E"/>
    <w:rsid w:val="00CA0979"/>
    <w:rsid w:val="00CA0E97"/>
    <w:rsid w:val="00CA1FA4"/>
    <w:rsid w:val="00CA35AE"/>
    <w:rsid w:val="00CA3DB2"/>
    <w:rsid w:val="00CA4993"/>
    <w:rsid w:val="00CA4FA0"/>
    <w:rsid w:val="00CA6E5C"/>
    <w:rsid w:val="00CA75FD"/>
    <w:rsid w:val="00CA7A19"/>
    <w:rsid w:val="00CA7F97"/>
    <w:rsid w:val="00CB0C3B"/>
    <w:rsid w:val="00CB0F6A"/>
    <w:rsid w:val="00CB147C"/>
    <w:rsid w:val="00CB2663"/>
    <w:rsid w:val="00CB4A52"/>
    <w:rsid w:val="00CB4AE4"/>
    <w:rsid w:val="00CB547F"/>
    <w:rsid w:val="00CB5FB4"/>
    <w:rsid w:val="00CB6E35"/>
    <w:rsid w:val="00CB6F67"/>
    <w:rsid w:val="00CB7192"/>
    <w:rsid w:val="00CB7F3A"/>
    <w:rsid w:val="00CC0249"/>
    <w:rsid w:val="00CC0623"/>
    <w:rsid w:val="00CC07CD"/>
    <w:rsid w:val="00CC17AF"/>
    <w:rsid w:val="00CC17D5"/>
    <w:rsid w:val="00CC20E2"/>
    <w:rsid w:val="00CC2D4D"/>
    <w:rsid w:val="00CC4EFF"/>
    <w:rsid w:val="00CC6560"/>
    <w:rsid w:val="00CC7C71"/>
    <w:rsid w:val="00CD0BA4"/>
    <w:rsid w:val="00CD2D54"/>
    <w:rsid w:val="00CD31A6"/>
    <w:rsid w:val="00CD3392"/>
    <w:rsid w:val="00CD3939"/>
    <w:rsid w:val="00CD3EAE"/>
    <w:rsid w:val="00CD432C"/>
    <w:rsid w:val="00CD4DF2"/>
    <w:rsid w:val="00CD598D"/>
    <w:rsid w:val="00CD6347"/>
    <w:rsid w:val="00CD6460"/>
    <w:rsid w:val="00CD68A3"/>
    <w:rsid w:val="00CD6DD7"/>
    <w:rsid w:val="00CD75B3"/>
    <w:rsid w:val="00CD7681"/>
    <w:rsid w:val="00CD79FF"/>
    <w:rsid w:val="00CE00EA"/>
    <w:rsid w:val="00CE0A5A"/>
    <w:rsid w:val="00CE227E"/>
    <w:rsid w:val="00CE367B"/>
    <w:rsid w:val="00CE4847"/>
    <w:rsid w:val="00CE5090"/>
    <w:rsid w:val="00CE6699"/>
    <w:rsid w:val="00CE7B4F"/>
    <w:rsid w:val="00CE7E48"/>
    <w:rsid w:val="00CF0109"/>
    <w:rsid w:val="00CF0C51"/>
    <w:rsid w:val="00CF0D30"/>
    <w:rsid w:val="00CF2F59"/>
    <w:rsid w:val="00CF391C"/>
    <w:rsid w:val="00CF40D5"/>
    <w:rsid w:val="00CF4A14"/>
    <w:rsid w:val="00CF59C8"/>
    <w:rsid w:val="00CF6BF4"/>
    <w:rsid w:val="00CF6C65"/>
    <w:rsid w:val="00D00A5E"/>
    <w:rsid w:val="00D01EE8"/>
    <w:rsid w:val="00D01F5C"/>
    <w:rsid w:val="00D0288F"/>
    <w:rsid w:val="00D02DE3"/>
    <w:rsid w:val="00D036AE"/>
    <w:rsid w:val="00D04881"/>
    <w:rsid w:val="00D0493F"/>
    <w:rsid w:val="00D05BF2"/>
    <w:rsid w:val="00D066F4"/>
    <w:rsid w:val="00D06C6B"/>
    <w:rsid w:val="00D07BC7"/>
    <w:rsid w:val="00D10477"/>
    <w:rsid w:val="00D10995"/>
    <w:rsid w:val="00D1149B"/>
    <w:rsid w:val="00D11A34"/>
    <w:rsid w:val="00D11DFA"/>
    <w:rsid w:val="00D12C15"/>
    <w:rsid w:val="00D14471"/>
    <w:rsid w:val="00D15CEA"/>
    <w:rsid w:val="00D17849"/>
    <w:rsid w:val="00D17F34"/>
    <w:rsid w:val="00D2038F"/>
    <w:rsid w:val="00D20821"/>
    <w:rsid w:val="00D20E9F"/>
    <w:rsid w:val="00D21003"/>
    <w:rsid w:val="00D21A86"/>
    <w:rsid w:val="00D2284F"/>
    <w:rsid w:val="00D23031"/>
    <w:rsid w:val="00D236B4"/>
    <w:rsid w:val="00D251AB"/>
    <w:rsid w:val="00D26DDC"/>
    <w:rsid w:val="00D3091D"/>
    <w:rsid w:val="00D323DD"/>
    <w:rsid w:val="00D32ED8"/>
    <w:rsid w:val="00D33C65"/>
    <w:rsid w:val="00D34468"/>
    <w:rsid w:val="00D34EEF"/>
    <w:rsid w:val="00D35B03"/>
    <w:rsid w:val="00D35B7F"/>
    <w:rsid w:val="00D37234"/>
    <w:rsid w:val="00D40614"/>
    <w:rsid w:val="00D435BB"/>
    <w:rsid w:val="00D43B00"/>
    <w:rsid w:val="00D4538A"/>
    <w:rsid w:val="00D45BCD"/>
    <w:rsid w:val="00D4612C"/>
    <w:rsid w:val="00D4713D"/>
    <w:rsid w:val="00D4733A"/>
    <w:rsid w:val="00D4786B"/>
    <w:rsid w:val="00D50545"/>
    <w:rsid w:val="00D51DC2"/>
    <w:rsid w:val="00D52D24"/>
    <w:rsid w:val="00D52FA3"/>
    <w:rsid w:val="00D53A88"/>
    <w:rsid w:val="00D54B97"/>
    <w:rsid w:val="00D551D9"/>
    <w:rsid w:val="00D56FF0"/>
    <w:rsid w:val="00D57D15"/>
    <w:rsid w:val="00D57F64"/>
    <w:rsid w:val="00D601D6"/>
    <w:rsid w:val="00D60294"/>
    <w:rsid w:val="00D606EA"/>
    <w:rsid w:val="00D610DA"/>
    <w:rsid w:val="00D61508"/>
    <w:rsid w:val="00D6170F"/>
    <w:rsid w:val="00D61A02"/>
    <w:rsid w:val="00D61B3F"/>
    <w:rsid w:val="00D62AA9"/>
    <w:rsid w:val="00D632EE"/>
    <w:rsid w:val="00D6639E"/>
    <w:rsid w:val="00D666E4"/>
    <w:rsid w:val="00D66F6A"/>
    <w:rsid w:val="00D66F88"/>
    <w:rsid w:val="00D67EF1"/>
    <w:rsid w:val="00D70A61"/>
    <w:rsid w:val="00D70C68"/>
    <w:rsid w:val="00D75866"/>
    <w:rsid w:val="00D75939"/>
    <w:rsid w:val="00D76FFF"/>
    <w:rsid w:val="00D773D9"/>
    <w:rsid w:val="00D809D2"/>
    <w:rsid w:val="00D810E4"/>
    <w:rsid w:val="00D8283C"/>
    <w:rsid w:val="00D83D04"/>
    <w:rsid w:val="00D83FFC"/>
    <w:rsid w:val="00D84744"/>
    <w:rsid w:val="00D8596B"/>
    <w:rsid w:val="00D87617"/>
    <w:rsid w:val="00D90166"/>
    <w:rsid w:val="00D903BC"/>
    <w:rsid w:val="00D90518"/>
    <w:rsid w:val="00D907E3"/>
    <w:rsid w:val="00D9090C"/>
    <w:rsid w:val="00D90DA5"/>
    <w:rsid w:val="00D920E0"/>
    <w:rsid w:val="00D92B57"/>
    <w:rsid w:val="00D9533D"/>
    <w:rsid w:val="00D965FF"/>
    <w:rsid w:val="00D96975"/>
    <w:rsid w:val="00D97056"/>
    <w:rsid w:val="00D9742C"/>
    <w:rsid w:val="00DA0901"/>
    <w:rsid w:val="00DA0F3E"/>
    <w:rsid w:val="00DA19F0"/>
    <w:rsid w:val="00DA2095"/>
    <w:rsid w:val="00DA21B8"/>
    <w:rsid w:val="00DA2C43"/>
    <w:rsid w:val="00DA2D59"/>
    <w:rsid w:val="00DA2F4F"/>
    <w:rsid w:val="00DA325D"/>
    <w:rsid w:val="00DA4287"/>
    <w:rsid w:val="00DA44BB"/>
    <w:rsid w:val="00DA4A14"/>
    <w:rsid w:val="00DA58DB"/>
    <w:rsid w:val="00DA5FF1"/>
    <w:rsid w:val="00DA63B9"/>
    <w:rsid w:val="00DA7457"/>
    <w:rsid w:val="00DA76AC"/>
    <w:rsid w:val="00DB09AC"/>
    <w:rsid w:val="00DB0E6D"/>
    <w:rsid w:val="00DB12AF"/>
    <w:rsid w:val="00DB2301"/>
    <w:rsid w:val="00DB2779"/>
    <w:rsid w:val="00DB2D1A"/>
    <w:rsid w:val="00DB3743"/>
    <w:rsid w:val="00DB4245"/>
    <w:rsid w:val="00DB44A5"/>
    <w:rsid w:val="00DB53A0"/>
    <w:rsid w:val="00DB55A4"/>
    <w:rsid w:val="00DB58D9"/>
    <w:rsid w:val="00DB6368"/>
    <w:rsid w:val="00DB6723"/>
    <w:rsid w:val="00DB7E95"/>
    <w:rsid w:val="00DC09B6"/>
    <w:rsid w:val="00DC0AD4"/>
    <w:rsid w:val="00DC0B56"/>
    <w:rsid w:val="00DC0D2C"/>
    <w:rsid w:val="00DC2218"/>
    <w:rsid w:val="00DC25FA"/>
    <w:rsid w:val="00DC4E03"/>
    <w:rsid w:val="00DC58F4"/>
    <w:rsid w:val="00DC6B65"/>
    <w:rsid w:val="00DC7090"/>
    <w:rsid w:val="00DC7356"/>
    <w:rsid w:val="00DC7B16"/>
    <w:rsid w:val="00DD0231"/>
    <w:rsid w:val="00DD0321"/>
    <w:rsid w:val="00DD12EE"/>
    <w:rsid w:val="00DD243A"/>
    <w:rsid w:val="00DD2478"/>
    <w:rsid w:val="00DD3428"/>
    <w:rsid w:val="00DD36A3"/>
    <w:rsid w:val="00DD4835"/>
    <w:rsid w:val="00DD484E"/>
    <w:rsid w:val="00DD57DD"/>
    <w:rsid w:val="00DD71D4"/>
    <w:rsid w:val="00DD7CEA"/>
    <w:rsid w:val="00DD7D06"/>
    <w:rsid w:val="00DE082C"/>
    <w:rsid w:val="00DE0E7D"/>
    <w:rsid w:val="00DE1B7D"/>
    <w:rsid w:val="00DE2B2C"/>
    <w:rsid w:val="00DE301F"/>
    <w:rsid w:val="00DE3EDD"/>
    <w:rsid w:val="00DE3FD9"/>
    <w:rsid w:val="00DE4080"/>
    <w:rsid w:val="00DE40D7"/>
    <w:rsid w:val="00DE43E6"/>
    <w:rsid w:val="00DE4726"/>
    <w:rsid w:val="00DE75A4"/>
    <w:rsid w:val="00DE7D7C"/>
    <w:rsid w:val="00DE7E19"/>
    <w:rsid w:val="00DF046E"/>
    <w:rsid w:val="00DF0994"/>
    <w:rsid w:val="00DF136D"/>
    <w:rsid w:val="00DF14F7"/>
    <w:rsid w:val="00DF1EFD"/>
    <w:rsid w:val="00DF31FF"/>
    <w:rsid w:val="00DF32A8"/>
    <w:rsid w:val="00DF3C05"/>
    <w:rsid w:val="00DF49E0"/>
    <w:rsid w:val="00DF4CF1"/>
    <w:rsid w:val="00DF50FF"/>
    <w:rsid w:val="00DF5A87"/>
    <w:rsid w:val="00DF654E"/>
    <w:rsid w:val="00DF7153"/>
    <w:rsid w:val="00E002FB"/>
    <w:rsid w:val="00E00F9B"/>
    <w:rsid w:val="00E01398"/>
    <w:rsid w:val="00E01C3C"/>
    <w:rsid w:val="00E01FF5"/>
    <w:rsid w:val="00E031FF"/>
    <w:rsid w:val="00E033C4"/>
    <w:rsid w:val="00E04139"/>
    <w:rsid w:val="00E054D3"/>
    <w:rsid w:val="00E056E7"/>
    <w:rsid w:val="00E0589D"/>
    <w:rsid w:val="00E110B7"/>
    <w:rsid w:val="00E114FA"/>
    <w:rsid w:val="00E1243B"/>
    <w:rsid w:val="00E13BD8"/>
    <w:rsid w:val="00E156B5"/>
    <w:rsid w:val="00E15AAD"/>
    <w:rsid w:val="00E16206"/>
    <w:rsid w:val="00E166A0"/>
    <w:rsid w:val="00E166EF"/>
    <w:rsid w:val="00E171A6"/>
    <w:rsid w:val="00E171D9"/>
    <w:rsid w:val="00E17D46"/>
    <w:rsid w:val="00E2027B"/>
    <w:rsid w:val="00E20BA6"/>
    <w:rsid w:val="00E21E55"/>
    <w:rsid w:val="00E2267F"/>
    <w:rsid w:val="00E23B07"/>
    <w:rsid w:val="00E24EF3"/>
    <w:rsid w:val="00E250CF"/>
    <w:rsid w:val="00E25F57"/>
    <w:rsid w:val="00E26108"/>
    <w:rsid w:val="00E266AD"/>
    <w:rsid w:val="00E27308"/>
    <w:rsid w:val="00E278B9"/>
    <w:rsid w:val="00E27BEA"/>
    <w:rsid w:val="00E30902"/>
    <w:rsid w:val="00E30FDF"/>
    <w:rsid w:val="00E31C0E"/>
    <w:rsid w:val="00E31FFC"/>
    <w:rsid w:val="00E32FA4"/>
    <w:rsid w:val="00E34A19"/>
    <w:rsid w:val="00E34E19"/>
    <w:rsid w:val="00E36E9A"/>
    <w:rsid w:val="00E37D54"/>
    <w:rsid w:val="00E40087"/>
    <w:rsid w:val="00E401B0"/>
    <w:rsid w:val="00E406F0"/>
    <w:rsid w:val="00E413D4"/>
    <w:rsid w:val="00E4176A"/>
    <w:rsid w:val="00E41977"/>
    <w:rsid w:val="00E41B4B"/>
    <w:rsid w:val="00E41F8C"/>
    <w:rsid w:val="00E43E27"/>
    <w:rsid w:val="00E4462D"/>
    <w:rsid w:val="00E45145"/>
    <w:rsid w:val="00E458DF"/>
    <w:rsid w:val="00E4678F"/>
    <w:rsid w:val="00E50D7A"/>
    <w:rsid w:val="00E528C8"/>
    <w:rsid w:val="00E53A69"/>
    <w:rsid w:val="00E545D1"/>
    <w:rsid w:val="00E55054"/>
    <w:rsid w:val="00E559B2"/>
    <w:rsid w:val="00E56D19"/>
    <w:rsid w:val="00E57A3A"/>
    <w:rsid w:val="00E60BC7"/>
    <w:rsid w:val="00E60C4D"/>
    <w:rsid w:val="00E622EF"/>
    <w:rsid w:val="00E62CDF"/>
    <w:rsid w:val="00E63D92"/>
    <w:rsid w:val="00E63DAC"/>
    <w:rsid w:val="00E66C33"/>
    <w:rsid w:val="00E66D7D"/>
    <w:rsid w:val="00E677EC"/>
    <w:rsid w:val="00E703D5"/>
    <w:rsid w:val="00E71608"/>
    <w:rsid w:val="00E71D8F"/>
    <w:rsid w:val="00E732FA"/>
    <w:rsid w:val="00E73F25"/>
    <w:rsid w:val="00E7625F"/>
    <w:rsid w:val="00E76890"/>
    <w:rsid w:val="00E76FD7"/>
    <w:rsid w:val="00E77002"/>
    <w:rsid w:val="00E8090B"/>
    <w:rsid w:val="00E81D98"/>
    <w:rsid w:val="00E83763"/>
    <w:rsid w:val="00E840B4"/>
    <w:rsid w:val="00E86E61"/>
    <w:rsid w:val="00E87834"/>
    <w:rsid w:val="00E90921"/>
    <w:rsid w:val="00E913EB"/>
    <w:rsid w:val="00E9403E"/>
    <w:rsid w:val="00E95ACC"/>
    <w:rsid w:val="00E96879"/>
    <w:rsid w:val="00E973B9"/>
    <w:rsid w:val="00E9753E"/>
    <w:rsid w:val="00E97626"/>
    <w:rsid w:val="00E97A0F"/>
    <w:rsid w:val="00EA17AF"/>
    <w:rsid w:val="00EA2696"/>
    <w:rsid w:val="00EA2A5E"/>
    <w:rsid w:val="00EA3F0C"/>
    <w:rsid w:val="00EA3FA7"/>
    <w:rsid w:val="00EA4C0E"/>
    <w:rsid w:val="00EA4D9F"/>
    <w:rsid w:val="00EA6609"/>
    <w:rsid w:val="00EB097D"/>
    <w:rsid w:val="00EB0B74"/>
    <w:rsid w:val="00EB24AC"/>
    <w:rsid w:val="00EB46E8"/>
    <w:rsid w:val="00EB58BB"/>
    <w:rsid w:val="00EB5DFA"/>
    <w:rsid w:val="00EB7254"/>
    <w:rsid w:val="00EB7C38"/>
    <w:rsid w:val="00EC12DC"/>
    <w:rsid w:val="00EC39F2"/>
    <w:rsid w:val="00EC55DA"/>
    <w:rsid w:val="00EC6F21"/>
    <w:rsid w:val="00ED0267"/>
    <w:rsid w:val="00ED2B20"/>
    <w:rsid w:val="00ED3656"/>
    <w:rsid w:val="00ED4301"/>
    <w:rsid w:val="00ED516D"/>
    <w:rsid w:val="00ED5AED"/>
    <w:rsid w:val="00ED7153"/>
    <w:rsid w:val="00ED72A3"/>
    <w:rsid w:val="00ED7944"/>
    <w:rsid w:val="00ED7E71"/>
    <w:rsid w:val="00EE00F8"/>
    <w:rsid w:val="00EE1597"/>
    <w:rsid w:val="00EE172E"/>
    <w:rsid w:val="00EE1AE7"/>
    <w:rsid w:val="00EE38F8"/>
    <w:rsid w:val="00EE3C5D"/>
    <w:rsid w:val="00EE4658"/>
    <w:rsid w:val="00EE7082"/>
    <w:rsid w:val="00EE7171"/>
    <w:rsid w:val="00EE769C"/>
    <w:rsid w:val="00EE7B1C"/>
    <w:rsid w:val="00EF054D"/>
    <w:rsid w:val="00EF078B"/>
    <w:rsid w:val="00EF0F2B"/>
    <w:rsid w:val="00EF128D"/>
    <w:rsid w:val="00EF14CF"/>
    <w:rsid w:val="00EF489D"/>
    <w:rsid w:val="00EF59DA"/>
    <w:rsid w:val="00EF5E79"/>
    <w:rsid w:val="00EF5EFF"/>
    <w:rsid w:val="00EF610B"/>
    <w:rsid w:val="00EF62E3"/>
    <w:rsid w:val="00EF6D23"/>
    <w:rsid w:val="00EF7AA0"/>
    <w:rsid w:val="00EF7B12"/>
    <w:rsid w:val="00EF7BEA"/>
    <w:rsid w:val="00F008A9"/>
    <w:rsid w:val="00F011B6"/>
    <w:rsid w:val="00F0130C"/>
    <w:rsid w:val="00F01E0F"/>
    <w:rsid w:val="00F02749"/>
    <w:rsid w:val="00F02CE9"/>
    <w:rsid w:val="00F0338E"/>
    <w:rsid w:val="00F034E9"/>
    <w:rsid w:val="00F037EF"/>
    <w:rsid w:val="00F0394C"/>
    <w:rsid w:val="00F0668A"/>
    <w:rsid w:val="00F06EEF"/>
    <w:rsid w:val="00F1143A"/>
    <w:rsid w:val="00F1202B"/>
    <w:rsid w:val="00F141B2"/>
    <w:rsid w:val="00F14214"/>
    <w:rsid w:val="00F1449B"/>
    <w:rsid w:val="00F15D5B"/>
    <w:rsid w:val="00F16442"/>
    <w:rsid w:val="00F16659"/>
    <w:rsid w:val="00F16E36"/>
    <w:rsid w:val="00F17B36"/>
    <w:rsid w:val="00F17D51"/>
    <w:rsid w:val="00F20CCA"/>
    <w:rsid w:val="00F213B1"/>
    <w:rsid w:val="00F21ACE"/>
    <w:rsid w:val="00F239CB"/>
    <w:rsid w:val="00F23E0A"/>
    <w:rsid w:val="00F23FBF"/>
    <w:rsid w:val="00F244CE"/>
    <w:rsid w:val="00F24BA7"/>
    <w:rsid w:val="00F24CBF"/>
    <w:rsid w:val="00F2570C"/>
    <w:rsid w:val="00F25D93"/>
    <w:rsid w:val="00F26059"/>
    <w:rsid w:val="00F26104"/>
    <w:rsid w:val="00F26729"/>
    <w:rsid w:val="00F27BD2"/>
    <w:rsid w:val="00F32453"/>
    <w:rsid w:val="00F34B8E"/>
    <w:rsid w:val="00F35789"/>
    <w:rsid w:val="00F3621E"/>
    <w:rsid w:val="00F36B17"/>
    <w:rsid w:val="00F36E3E"/>
    <w:rsid w:val="00F37086"/>
    <w:rsid w:val="00F41468"/>
    <w:rsid w:val="00F436C3"/>
    <w:rsid w:val="00F4450C"/>
    <w:rsid w:val="00F46CEC"/>
    <w:rsid w:val="00F46E28"/>
    <w:rsid w:val="00F47618"/>
    <w:rsid w:val="00F47E77"/>
    <w:rsid w:val="00F510CA"/>
    <w:rsid w:val="00F525AE"/>
    <w:rsid w:val="00F5270F"/>
    <w:rsid w:val="00F54198"/>
    <w:rsid w:val="00F55125"/>
    <w:rsid w:val="00F551F0"/>
    <w:rsid w:val="00F57F47"/>
    <w:rsid w:val="00F606A1"/>
    <w:rsid w:val="00F607C8"/>
    <w:rsid w:val="00F622A5"/>
    <w:rsid w:val="00F629A8"/>
    <w:rsid w:val="00F6325F"/>
    <w:rsid w:val="00F6336F"/>
    <w:rsid w:val="00F63525"/>
    <w:rsid w:val="00F651E0"/>
    <w:rsid w:val="00F653A0"/>
    <w:rsid w:val="00F658E4"/>
    <w:rsid w:val="00F70FE9"/>
    <w:rsid w:val="00F711BD"/>
    <w:rsid w:val="00F71E4C"/>
    <w:rsid w:val="00F722FB"/>
    <w:rsid w:val="00F7298D"/>
    <w:rsid w:val="00F74393"/>
    <w:rsid w:val="00F74E28"/>
    <w:rsid w:val="00F75044"/>
    <w:rsid w:val="00F7594B"/>
    <w:rsid w:val="00F75BF3"/>
    <w:rsid w:val="00F81281"/>
    <w:rsid w:val="00F81883"/>
    <w:rsid w:val="00F824E4"/>
    <w:rsid w:val="00F8255E"/>
    <w:rsid w:val="00F84A11"/>
    <w:rsid w:val="00F84A5F"/>
    <w:rsid w:val="00F84E2F"/>
    <w:rsid w:val="00F85A4F"/>
    <w:rsid w:val="00F863C0"/>
    <w:rsid w:val="00F86E79"/>
    <w:rsid w:val="00F87041"/>
    <w:rsid w:val="00F8797C"/>
    <w:rsid w:val="00F87A25"/>
    <w:rsid w:val="00F91EE9"/>
    <w:rsid w:val="00F91F94"/>
    <w:rsid w:val="00F92521"/>
    <w:rsid w:val="00F928F1"/>
    <w:rsid w:val="00F92F9D"/>
    <w:rsid w:val="00F93222"/>
    <w:rsid w:val="00F940E2"/>
    <w:rsid w:val="00F940EE"/>
    <w:rsid w:val="00F94181"/>
    <w:rsid w:val="00F95007"/>
    <w:rsid w:val="00F95093"/>
    <w:rsid w:val="00F95520"/>
    <w:rsid w:val="00F9566C"/>
    <w:rsid w:val="00FA0C4C"/>
    <w:rsid w:val="00FA1664"/>
    <w:rsid w:val="00FA1D6A"/>
    <w:rsid w:val="00FA1FD1"/>
    <w:rsid w:val="00FA2CD5"/>
    <w:rsid w:val="00FA2FD8"/>
    <w:rsid w:val="00FA34BB"/>
    <w:rsid w:val="00FA39FB"/>
    <w:rsid w:val="00FA544E"/>
    <w:rsid w:val="00FA557C"/>
    <w:rsid w:val="00FA5F6B"/>
    <w:rsid w:val="00FA67B3"/>
    <w:rsid w:val="00FA6BD5"/>
    <w:rsid w:val="00FA7868"/>
    <w:rsid w:val="00FA7C36"/>
    <w:rsid w:val="00FB0262"/>
    <w:rsid w:val="00FB16FE"/>
    <w:rsid w:val="00FB279B"/>
    <w:rsid w:val="00FB2EB7"/>
    <w:rsid w:val="00FB3466"/>
    <w:rsid w:val="00FB3900"/>
    <w:rsid w:val="00FB3998"/>
    <w:rsid w:val="00FB428D"/>
    <w:rsid w:val="00FB4740"/>
    <w:rsid w:val="00FB4DAF"/>
    <w:rsid w:val="00FB525D"/>
    <w:rsid w:val="00FB59F1"/>
    <w:rsid w:val="00FB5AA3"/>
    <w:rsid w:val="00FB6854"/>
    <w:rsid w:val="00FB714B"/>
    <w:rsid w:val="00FB71A8"/>
    <w:rsid w:val="00FB7929"/>
    <w:rsid w:val="00FB7DD9"/>
    <w:rsid w:val="00FB7F2B"/>
    <w:rsid w:val="00FC024F"/>
    <w:rsid w:val="00FC0A3D"/>
    <w:rsid w:val="00FC0BE4"/>
    <w:rsid w:val="00FC0E2E"/>
    <w:rsid w:val="00FC1577"/>
    <w:rsid w:val="00FC2352"/>
    <w:rsid w:val="00FC2820"/>
    <w:rsid w:val="00FC33CF"/>
    <w:rsid w:val="00FC3958"/>
    <w:rsid w:val="00FC4657"/>
    <w:rsid w:val="00FC48AF"/>
    <w:rsid w:val="00FC4A3A"/>
    <w:rsid w:val="00FC643A"/>
    <w:rsid w:val="00FC6976"/>
    <w:rsid w:val="00FC6E06"/>
    <w:rsid w:val="00FC7BC0"/>
    <w:rsid w:val="00FD0290"/>
    <w:rsid w:val="00FD2475"/>
    <w:rsid w:val="00FD2AC9"/>
    <w:rsid w:val="00FD384F"/>
    <w:rsid w:val="00FD46A4"/>
    <w:rsid w:val="00FD4B68"/>
    <w:rsid w:val="00FD59A5"/>
    <w:rsid w:val="00FD626E"/>
    <w:rsid w:val="00FE0AAD"/>
    <w:rsid w:val="00FE1D93"/>
    <w:rsid w:val="00FE1DB9"/>
    <w:rsid w:val="00FE203B"/>
    <w:rsid w:val="00FE217B"/>
    <w:rsid w:val="00FE322A"/>
    <w:rsid w:val="00FE3C46"/>
    <w:rsid w:val="00FE4141"/>
    <w:rsid w:val="00FE5F1C"/>
    <w:rsid w:val="00FE6143"/>
    <w:rsid w:val="00FE6976"/>
    <w:rsid w:val="00FF0432"/>
    <w:rsid w:val="00FF0779"/>
    <w:rsid w:val="00FF470C"/>
    <w:rsid w:val="00FF47D1"/>
    <w:rsid w:val="00FF4C1E"/>
    <w:rsid w:val="00FF52F6"/>
    <w:rsid w:val="00FF660D"/>
    <w:rsid w:val="00FF6946"/>
    <w:rsid w:val="1865128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152B80"/>
  <w15:chartTrackingRefBased/>
  <w15:docId w15:val="{1D3553A3-231B-4EEA-81FD-06E42715F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40" w:line="360" w:lineRule="auto"/>
      <w:jc w:val="both"/>
    </w:pPr>
    <w:rPr>
      <w:rFonts w:ascii="Arial" w:hAnsi="Arial"/>
      <w:sz w:val="22"/>
    </w:rPr>
  </w:style>
  <w:style w:type="paragraph" w:styleId="berschrift1">
    <w:name w:val="heading 1"/>
    <w:basedOn w:val="Standard"/>
    <w:next w:val="Standard"/>
    <w:qFormat/>
    <w:rsid w:val="00062F5E"/>
    <w:pPr>
      <w:keepNext/>
      <w:widowControl w:val="0"/>
      <w:numPr>
        <w:numId w:val="1"/>
      </w:numPr>
      <w:spacing w:after="120"/>
      <w:jc w:val="left"/>
      <w:outlineLvl w:val="0"/>
    </w:pPr>
    <w:rPr>
      <w:rFonts w:ascii="Verdana" w:hAnsi="Verdana"/>
      <w:b/>
      <w:kern w:val="28"/>
    </w:rPr>
  </w:style>
  <w:style w:type="paragraph" w:styleId="berschrift2">
    <w:name w:val="heading 2"/>
    <w:basedOn w:val="Standard"/>
    <w:next w:val="Standard"/>
    <w:qFormat/>
    <w:rsid w:val="00062F5E"/>
    <w:pPr>
      <w:keepNext/>
      <w:numPr>
        <w:ilvl w:val="1"/>
        <w:numId w:val="1"/>
      </w:numPr>
      <w:tabs>
        <w:tab w:val="left" w:pos="5387"/>
      </w:tabs>
      <w:spacing w:after="120"/>
      <w:jc w:val="left"/>
      <w:outlineLvl w:val="1"/>
    </w:pPr>
    <w:rPr>
      <w:rFonts w:ascii="Verdana" w:hAnsi="Verdana"/>
      <w:b/>
    </w:rPr>
  </w:style>
  <w:style w:type="paragraph" w:styleId="berschrift3">
    <w:name w:val="heading 3"/>
    <w:basedOn w:val="Standard"/>
    <w:next w:val="Standard"/>
    <w:qFormat/>
    <w:rsid w:val="00062F5E"/>
    <w:pPr>
      <w:widowControl w:val="0"/>
      <w:numPr>
        <w:ilvl w:val="2"/>
        <w:numId w:val="1"/>
      </w:numPr>
      <w:spacing w:after="120"/>
      <w:outlineLvl w:val="2"/>
    </w:pPr>
    <w:rPr>
      <w:rFonts w:ascii="Verdana" w:hAnsi="Verdana"/>
      <w:b/>
    </w:rPr>
  </w:style>
  <w:style w:type="paragraph" w:styleId="berschrift4">
    <w:name w:val="heading 4"/>
    <w:basedOn w:val="Standard"/>
    <w:next w:val="Standard"/>
    <w:qFormat/>
    <w:pPr>
      <w:keepNext/>
      <w:widowControl w:val="0"/>
      <w:numPr>
        <w:ilvl w:val="3"/>
        <w:numId w:val="1"/>
      </w:numPr>
      <w:spacing w:after="120"/>
      <w:jc w:val="left"/>
      <w:outlineLvl w:val="3"/>
    </w:pPr>
    <w:rPr>
      <w:b/>
    </w:rPr>
  </w:style>
  <w:style w:type="paragraph" w:styleId="berschrift5">
    <w:name w:val="heading 5"/>
    <w:basedOn w:val="Standard"/>
    <w:next w:val="Standard"/>
    <w:qFormat/>
    <w:pPr>
      <w:widowControl w:val="0"/>
      <w:numPr>
        <w:ilvl w:val="4"/>
        <w:numId w:val="1"/>
      </w:numPr>
      <w:spacing w:after="120"/>
      <w:jc w:val="left"/>
      <w:outlineLvl w:val="4"/>
    </w:pPr>
    <w:rPr>
      <w:b/>
    </w:rPr>
  </w:style>
  <w:style w:type="paragraph" w:styleId="berschrift6">
    <w:name w:val="heading 6"/>
    <w:basedOn w:val="Standard"/>
    <w:next w:val="Standard"/>
    <w:qFormat/>
    <w:pPr>
      <w:spacing w:after="120"/>
      <w:jc w:val="left"/>
      <w:outlineLvl w:val="5"/>
    </w:pPr>
    <w:rPr>
      <w:u w:val="single"/>
    </w:rPr>
  </w:style>
  <w:style w:type="paragraph" w:styleId="berschrift7">
    <w:name w:val="heading 7"/>
    <w:basedOn w:val="Standard"/>
    <w:next w:val="Standard"/>
    <w:qFormat/>
    <w:pPr>
      <w:keepNext/>
      <w:outlineLvl w:val="6"/>
    </w:pPr>
    <w:rPr>
      <w:i/>
    </w:rPr>
  </w:style>
  <w:style w:type="paragraph" w:styleId="berschrift8">
    <w:name w:val="heading 8"/>
    <w:basedOn w:val="Standard"/>
    <w:next w:val="Standard"/>
    <w:qFormat/>
    <w:pPr>
      <w:keepNext/>
      <w:jc w:val="center"/>
      <w:outlineLvl w:val="7"/>
    </w:pPr>
    <w:rPr>
      <w:b/>
    </w:rPr>
  </w:style>
  <w:style w:type="paragraph" w:styleId="berschrift9">
    <w:name w:val="heading 9"/>
    <w:basedOn w:val="Standard"/>
    <w:next w:val="Standard"/>
    <w:qFormat/>
    <w:pPr>
      <w:keepNext/>
      <w:jc w:val="center"/>
      <w:outlineLvl w:val="8"/>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Endnotenzeichen">
    <w:name w:val="endnote reference"/>
    <w:aliases w:val="ez"/>
    <w:uiPriority w:val="99"/>
    <w:qFormat/>
    <w:rPr>
      <w:rFonts w:ascii="Arial" w:hAnsi="Arial"/>
      <w:color w:val="auto"/>
      <w:sz w:val="24"/>
      <w:u w:val="none"/>
      <w:vertAlign w:val="baseline"/>
    </w:rPr>
  </w:style>
  <w:style w:type="paragraph" w:styleId="Endnotentext">
    <w:name w:val="endnote text"/>
    <w:basedOn w:val="Standard"/>
    <w:link w:val="EndnotentextZchn"/>
    <w:uiPriority w:val="99"/>
    <w:qFormat/>
    <w:pPr>
      <w:spacing w:after="120" w:line="240" w:lineRule="auto"/>
      <w:ind w:left="709" w:hanging="709"/>
    </w:pPr>
  </w:style>
  <w:style w:type="character" w:styleId="Seitenzahl">
    <w:name w:val="page number"/>
    <w:semiHidden/>
    <w:rPr>
      <w:rFonts w:ascii="Arial" w:hAnsi="Arial"/>
      <w:sz w:val="18"/>
    </w:rPr>
  </w:style>
  <w:style w:type="paragraph" w:styleId="Funotentext">
    <w:name w:val="footnote text"/>
    <w:basedOn w:val="Standard"/>
    <w:semiHidden/>
    <w:pPr>
      <w:spacing w:after="0" w:line="240" w:lineRule="auto"/>
    </w:pPr>
  </w:style>
  <w:style w:type="character" w:styleId="Funotenzeichen">
    <w:name w:val="footnote reference"/>
    <w:semiHidden/>
    <w:rPr>
      <w:rFonts w:ascii="Arial" w:hAnsi="Arial"/>
      <w:dstrike w:val="0"/>
      <w:color w:val="auto"/>
      <w:sz w:val="24"/>
      <w:vertAlign w:val="baseline"/>
    </w:rPr>
  </w:style>
  <w:style w:type="paragraph" w:styleId="Beschriftung">
    <w:name w:val="caption"/>
    <w:basedOn w:val="Standard"/>
    <w:next w:val="Standard"/>
    <w:qFormat/>
    <w:pPr>
      <w:spacing w:after="0"/>
    </w:pPr>
  </w:style>
  <w:style w:type="paragraph" w:styleId="Verzeichnis1">
    <w:name w:val="toc 1"/>
    <w:basedOn w:val="Standard"/>
    <w:next w:val="Standard"/>
    <w:autoRedefine/>
    <w:semiHidden/>
    <w:pPr>
      <w:spacing w:before="120" w:after="0"/>
    </w:pPr>
    <w:rPr>
      <w:b/>
    </w:rPr>
  </w:style>
  <w:style w:type="paragraph" w:styleId="Verzeichnis2">
    <w:name w:val="toc 2"/>
    <w:basedOn w:val="Standard"/>
    <w:next w:val="Standard"/>
    <w:autoRedefine/>
    <w:semiHidden/>
    <w:pPr>
      <w:spacing w:before="120" w:after="0"/>
      <w:ind w:left="238"/>
    </w:pPr>
  </w:style>
  <w:style w:type="paragraph" w:styleId="Verzeichnis3">
    <w:name w:val="toc 3"/>
    <w:basedOn w:val="Standard"/>
    <w:next w:val="Standard"/>
    <w:autoRedefine/>
    <w:semiHidden/>
    <w:pPr>
      <w:spacing w:before="120" w:after="0"/>
      <w:ind w:left="482"/>
    </w:pPr>
    <w:rPr>
      <w:noProof/>
      <w:kern w:val="28"/>
    </w:rPr>
  </w:style>
  <w:style w:type="paragraph" w:styleId="Verzeichnis4">
    <w:name w:val="toc 4"/>
    <w:basedOn w:val="Standard"/>
    <w:next w:val="Standard"/>
    <w:autoRedefine/>
    <w:semiHidden/>
    <w:pPr>
      <w:spacing w:after="0"/>
      <w:ind w:left="720"/>
    </w:pPr>
  </w:style>
  <w:style w:type="paragraph" w:styleId="Verzeichnis5">
    <w:name w:val="toc 5"/>
    <w:basedOn w:val="Standard"/>
    <w:next w:val="Standard"/>
    <w:autoRedefine/>
    <w:semiHidden/>
    <w:pPr>
      <w:spacing w:after="0"/>
      <w:ind w:left="958"/>
    </w:pPr>
  </w:style>
  <w:style w:type="paragraph" w:styleId="Fuzeile">
    <w:name w:val="footer"/>
    <w:basedOn w:val="Standard"/>
    <w:semiHidden/>
    <w:pPr>
      <w:tabs>
        <w:tab w:val="center" w:pos="4819"/>
        <w:tab w:val="right" w:pos="9071"/>
      </w:tabs>
      <w:spacing w:after="0" w:line="240" w:lineRule="auto"/>
      <w:jc w:val="left"/>
    </w:pPr>
    <w:rPr>
      <w:rFonts w:ascii="Times New Roman" w:hAnsi="Times New Roman"/>
    </w:rPr>
  </w:style>
  <w:style w:type="paragraph" w:styleId="Kopfzeile">
    <w:name w:val="header"/>
    <w:basedOn w:val="Standard"/>
    <w:semiHidden/>
    <w:pPr>
      <w:tabs>
        <w:tab w:val="center" w:pos="4819"/>
        <w:tab w:val="right" w:pos="9071"/>
      </w:tabs>
      <w:spacing w:after="0" w:line="240" w:lineRule="auto"/>
      <w:jc w:val="left"/>
    </w:pPr>
    <w:rPr>
      <w:rFonts w:ascii="Times New Roman" w:hAnsi="Times New Roman"/>
    </w:rPr>
  </w:style>
  <w:style w:type="paragraph" w:customStyle="1" w:styleId="Ehrenberg">
    <w:name w:val="Ehrenberg"/>
    <w:basedOn w:val="berschrift1"/>
    <w:pPr>
      <w:numPr>
        <w:numId w:val="2"/>
      </w:numPr>
    </w:pPr>
  </w:style>
  <w:style w:type="paragraph" w:styleId="Blocktext">
    <w:name w:val="Block Text"/>
    <w:basedOn w:val="Standard"/>
    <w:semiHidden/>
    <w:pPr>
      <w:ind w:left="851" w:right="849"/>
    </w:pPr>
    <w:rPr>
      <w:sz w:val="20"/>
    </w:rPr>
  </w:style>
  <w:style w:type="character" w:styleId="Hyperlink">
    <w:name w:val="Hyperlink"/>
    <w:uiPriority w:val="99"/>
    <w:rPr>
      <w:color w:val="0000FF"/>
      <w:u w:val="single"/>
    </w:rPr>
  </w:style>
  <w:style w:type="paragraph" w:styleId="Textkrper">
    <w:name w:val="Body Text"/>
    <w:basedOn w:val="Standard"/>
    <w:semiHidden/>
    <w:pPr>
      <w:spacing w:after="480"/>
      <w:jc w:val="center"/>
    </w:pPr>
    <w:rPr>
      <w:b/>
      <w:sz w:val="32"/>
    </w:rPr>
  </w:style>
  <w:style w:type="paragraph" w:customStyle="1" w:styleId="ZCom">
    <w:name w:val="Z_Com"/>
    <w:basedOn w:val="Standard"/>
    <w:next w:val="ZDGName"/>
    <w:pPr>
      <w:widowControl w:val="0"/>
      <w:spacing w:after="0" w:line="240" w:lineRule="auto"/>
      <w:ind w:right="85"/>
    </w:pPr>
    <w:rPr>
      <w:sz w:val="24"/>
      <w:lang w:val="en-GB"/>
    </w:rPr>
  </w:style>
  <w:style w:type="paragraph" w:customStyle="1" w:styleId="ZDGName">
    <w:name w:val="Z_DGName"/>
    <w:basedOn w:val="Standard"/>
    <w:pPr>
      <w:widowControl w:val="0"/>
      <w:spacing w:after="0" w:line="240" w:lineRule="auto"/>
      <w:ind w:right="85"/>
    </w:pPr>
    <w:rPr>
      <w:sz w:val="16"/>
      <w:lang w:val="en-GB"/>
    </w:rPr>
  </w:style>
  <w:style w:type="paragraph" w:styleId="Sprechblasentext">
    <w:name w:val="Balloon Text"/>
    <w:basedOn w:val="Standard"/>
    <w:link w:val="SprechblasentextZchn"/>
    <w:uiPriority w:val="99"/>
    <w:semiHidden/>
    <w:unhideWhenUsed/>
    <w:rsid w:val="006C7658"/>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6C7658"/>
    <w:rPr>
      <w:rFonts w:ascii="Tahoma" w:hAnsi="Tahoma" w:cs="Tahoma"/>
      <w:sz w:val="16"/>
      <w:szCs w:val="16"/>
    </w:rPr>
  </w:style>
  <w:style w:type="table" w:customStyle="1" w:styleId="Tabellengitternetz">
    <w:name w:val="Tabellengitternetz"/>
    <w:basedOn w:val="NormaleTabelle"/>
    <w:uiPriority w:val="59"/>
    <w:rsid w:val="00BC7C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andardWeb">
    <w:name w:val="Normal (Web)"/>
    <w:basedOn w:val="Standard"/>
    <w:uiPriority w:val="99"/>
    <w:unhideWhenUsed/>
    <w:rsid w:val="00AF553A"/>
    <w:pPr>
      <w:spacing w:before="100" w:beforeAutospacing="1" w:after="100" w:afterAutospacing="1" w:line="240" w:lineRule="auto"/>
      <w:jc w:val="left"/>
    </w:pPr>
    <w:rPr>
      <w:rFonts w:ascii="Times New Roman" w:hAnsi="Times New Roman"/>
      <w:sz w:val="24"/>
      <w:szCs w:val="24"/>
    </w:rPr>
  </w:style>
  <w:style w:type="paragraph" w:styleId="Textkrper2">
    <w:name w:val="Body Text 2"/>
    <w:basedOn w:val="Standard"/>
    <w:link w:val="Textkrper2Zchn"/>
    <w:uiPriority w:val="99"/>
    <w:semiHidden/>
    <w:unhideWhenUsed/>
    <w:rsid w:val="00AF553A"/>
    <w:pPr>
      <w:spacing w:after="120" w:line="480" w:lineRule="auto"/>
    </w:pPr>
  </w:style>
  <w:style w:type="character" w:customStyle="1" w:styleId="Textkrper2Zchn">
    <w:name w:val="Textkörper 2 Zchn"/>
    <w:link w:val="Textkrper2"/>
    <w:uiPriority w:val="99"/>
    <w:semiHidden/>
    <w:rsid w:val="00AF553A"/>
    <w:rPr>
      <w:rFonts w:ascii="Arial" w:hAnsi="Arial"/>
      <w:sz w:val="22"/>
    </w:rPr>
  </w:style>
  <w:style w:type="paragraph" w:styleId="Listenabsatz">
    <w:name w:val="List Paragraph"/>
    <w:basedOn w:val="Standard"/>
    <w:uiPriority w:val="34"/>
    <w:qFormat/>
    <w:rsid w:val="003E3EB6"/>
    <w:pPr>
      <w:ind w:left="720"/>
      <w:contextualSpacing/>
    </w:pPr>
  </w:style>
  <w:style w:type="character" w:styleId="NichtaufgelsteErwhnung">
    <w:name w:val="Unresolved Mention"/>
    <w:basedOn w:val="Absatz-Standardschriftart"/>
    <w:uiPriority w:val="99"/>
    <w:semiHidden/>
    <w:unhideWhenUsed/>
    <w:rsid w:val="00115A9E"/>
    <w:rPr>
      <w:color w:val="605E5C"/>
      <w:shd w:val="clear" w:color="auto" w:fill="E1DFDD"/>
    </w:rPr>
  </w:style>
  <w:style w:type="paragraph" w:styleId="berarbeitung">
    <w:name w:val="Revision"/>
    <w:hidden/>
    <w:uiPriority w:val="99"/>
    <w:semiHidden/>
    <w:rsid w:val="00D11DFA"/>
    <w:rPr>
      <w:rFonts w:ascii="Arial" w:hAnsi="Arial"/>
      <w:sz w:val="22"/>
    </w:rPr>
  </w:style>
  <w:style w:type="character" w:styleId="Kommentarzeichen">
    <w:name w:val="annotation reference"/>
    <w:basedOn w:val="Absatz-Standardschriftart"/>
    <w:uiPriority w:val="99"/>
    <w:semiHidden/>
    <w:unhideWhenUsed/>
    <w:rsid w:val="006A34F5"/>
    <w:rPr>
      <w:sz w:val="16"/>
      <w:szCs w:val="16"/>
    </w:rPr>
  </w:style>
  <w:style w:type="paragraph" w:styleId="Kommentartext">
    <w:name w:val="annotation text"/>
    <w:basedOn w:val="Standard"/>
    <w:link w:val="KommentartextZchn"/>
    <w:uiPriority w:val="99"/>
    <w:unhideWhenUsed/>
    <w:rsid w:val="006A34F5"/>
    <w:pPr>
      <w:spacing w:line="240" w:lineRule="auto"/>
    </w:pPr>
    <w:rPr>
      <w:sz w:val="20"/>
    </w:rPr>
  </w:style>
  <w:style w:type="character" w:customStyle="1" w:styleId="KommentartextZchn">
    <w:name w:val="Kommentartext Zchn"/>
    <w:basedOn w:val="Absatz-Standardschriftart"/>
    <w:link w:val="Kommentartext"/>
    <w:uiPriority w:val="99"/>
    <w:rsid w:val="006A34F5"/>
    <w:rPr>
      <w:rFonts w:ascii="Arial" w:hAnsi="Arial"/>
    </w:rPr>
  </w:style>
  <w:style w:type="paragraph" w:styleId="Kommentarthema">
    <w:name w:val="annotation subject"/>
    <w:basedOn w:val="Kommentartext"/>
    <w:next w:val="Kommentartext"/>
    <w:link w:val="KommentarthemaZchn"/>
    <w:uiPriority w:val="99"/>
    <w:semiHidden/>
    <w:unhideWhenUsed/>
    <w:rsid w:val="006A34F5"/>
    <w:rPr>
      <w:b/>
      <w:bCs/>
    </w:rPr>
  </w:style>
  <w:style w:type="character" w:customStyle="1" w:styleId="KommentarthemaZchn">
    <w:name w:val="Kommentarthema Zchn"/>
    <w:basedOn w:val="KommentartextZchn"/>
    <w:link w:val="Kommentarthema"/>
    <w:uiPriority w:val="99"/>
    <w:semiHidden/>
    <w:rsid w:val="006A34F5"/>
    <w:rPr>
      <w:rFonts w:ascii="Arial" w:hAnsi="Arial"/>
      <w:b/>
      <w:bCs/>
    </w:rPr>
  </w:style>
  <w:style w:type="character" w:customStyle="1" w:styleId="EndnotentextZchn">
    <w:name w:val="Endnotentext Zchn"/>
    <w:basedOn w:val="Absatz-Standardschriftart"/>
    <w:link w:val="Endnotentext"/>
    <w:uiPriority w:val="99"/>
    <w:rsid w:val="001974E5"/>
    <w:rPr>
      <w:rFonts w:ascii="Arial" w:hAnsi="Arial"/>
      <w:sz w:val="22"/>
    </w:rPr>
  </w:style>
  <w:style w:type="table" w:styleId="Tabellenraster">
    <w:name w:val="Table Grid"/>
    <w:basedOn w:val="NormaleTabelle"/>
    <w:uiPriority w:val="59"/>
    <w:rsid w:val="007B1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4280">
      <w:bodyDiv w:val="1"/>
      <w:marLeft w:val="0"/>
      <w:marRight w:val="0"/>
      <w:marTop w:val="0"/>
      <w:marBottom w:val="0"/>
      <w:divBdr>
        <w:top w:val="none" w:sz="0" w:space="0" w:color="auto"/>
        <w:left w:val="none" w:sz="0" w:space="0" w:color="auto"/>
        <w:bottom w:val="none" w:sz="0" w:space="0" w:color="auto"/>
        <w:right w:val="none" w:sz="0" w:space="0" w:color="auto"/>
      </w:divBdr>
    </w:div>
    <w:div w:id="50547041">
      <w:bodyDiv w:val="1"/>
      <w:marLeft w:val="0"/>
      <w:marRight w:val="0"/>
      <w:marTop w:val="0"/>
      <w:marBottom w:val="0"/>
      <w:divBdr>
        <w:top w:val="none" w:sz="0" w:space="0" w:color="auto"/>
        <w:left w:val="none" w:sz="0" w:space="0" w:color="auto"/>
        <w:bottom w:val="none" w:sz="0" w:space="0" w:color="auto"/>
        <w:right w:val="none" w:sz="0" w:space="0" w:color="auto"/>
      </w:divBdr>
    </w:div>
    <w:div w:id="266735074">
      <w:bodyDiv w:val="1"/>
      <w:marLeft w:val="0"/>
      <w:marRight w:val="0"/>
      <w:marTop w:val="0"/>
      <w:marBottom w:val="0"/>
      <w:divBdr>
        <w:top w:val="none" w:sz="0" w:space="0" w:color="auto"/>
        <w:left w:val="none" w:sz="0" w:space="0" w:color="auto"/>
        <w:bottom w:val="none" w:sz="0" w:space="0" w:color="auto"/>
        <w:right w:val="none" w:sz="0" w:space="0" w:color="auto"/>
      </w:divBdr>
    </w:div>
    <w:div w:id="274750940">
      <w:bodyDiv w:val="1"/>
      <w:marLeft w:val="0"/>
      <w:marRight w:val="0"/>
      <w:marTop w:val="0"/>
      <w:marBottom w:val="0"/>
      <w:divBdr>
        <w:top w:val="none" w:sz="0" w:space="0" w:color="auto"/>
        <w:left w:val="none" w:sz="0" w:space="0" w:color="auto"/>
        <w:bottom w:val="none" w:sz="0" w:space="0" w:color="auto"/>
        <w:right w:val="none" w:sz="0" w:space="0" w:color="auto"/>
      </w:divBdr>
    </w:div>
    <w:div w:id="329142866">
      <w:bodyDiv w:val="1"/>
      <w:marLeft w:val="0"/>
      <w:marRight w:val="0"/>
      <w:marTop w:val="0"/>
      <w:marBottom w:val="0"/>
      <w:divBdr>
        <w:top w:val="none" w:sz="0" w:space="0" w:color="auto"/>
        <w:left w:val="none" w:sz="0" w:space="0" w:color="auto"/>
        <w:bottom w:val="none" w:sz="0" w:space="0" w:color="auto"/>
        <w:right w:val="none" w:sz="0" w:space="0" w:color="auto"/>
      </w:divBdr>
    </w:div>
    <w:div w:id="406080043">
      <w:bodyDiv w:val="1"/>
      <w:marLeft w:val="0"/>
      <w:marRight w:val="0"/>
      <w:marTop w:val="0"/>
      <w:marBottom w:val="0"/>
      <w:divBdr>
        <w:top w:val="none" w:sz="0" w:space="0" w:color="auto"/>
        <w:left w:val="none" w:sz="0" w:space="0" w:color="auto"/>
        <w:bottom w:val="none" w:sz="0" w:space="0" w:color="auto"/>
        <w:right w:val="none" w:sz="0" w:space="0" w:color="auto"/>
      </w:divBdr>
    </w:div>
    <w:div w:id="413598393">
      <w:bodyDiv w:val="1"/>
      <w:marLeft w:val="0"/>
      <w:marRight w:val="0"/>
      <w:marTop w:val="0"/>
      <w:marBottom w:val="0"/>
      <w:divBdr>
        <w:top w:val="none" w:sz="0" w:space="0" w:color="auto"/>
        <w:left w:val="none" w:sz="0" w:space="0" w:color="auto"/>
        <w:bottom w:val="none" w:sz="0" w:space="0" w:color="auto"/>
        <w:right w:val="none" w:sz="0" w:space="0" w:color="auto"/>
      </w:divBdr>
    </w:div>
    <w:div w:id="676806494">
      <w:bodyDiv w:val="1"/>
      <w:marLeft w:val="0"/>
      <w:marRight w:val="0"/>
      <w:marTop w:val="0"/>
      <w:marBottom w:val="0"/>
      <w:divBdr>
        <w:top w:val="none" w:sz="0" w:space="0" w:color="auto"/>
        <w:left w:val="none" w:sz="0" w:space="0" w:color="auto"/>
        <w:bottom w:val="none" w:sz="0" w:space="0" w:color="auto"/>
        <w:right w:val="none" w:sz="0" w:space="0" w:color="auto"/>
      </w:divBdr>
    </w:div>
    <w:div w:id="715197594">
      <w:bodyDiv w:val="1"/>
      <w:marLeft w:val="0"/>
      <w:marRight w:val="0"/>
      <w:marTop w:val="0"/>
      <w:marBottom w:val="0"/>
      <w:divBdr>
        <w:top w:val="none" w:sz="0" w:space="0" w:color="auto"/>
        <w:left w:val="none" w:sz="0" w:space="0" w:color="auto"/>
        <w:bottom w:val="none" w:sz="0" w:space="0" w:color="auto"/>
        <w:right w:val="none" w:sz="0" w:space="0" w:color="auto"/>
      </w:divBdr>
    </w:div>
    <w:div w:id="987781007">
      <w:bodyDiv w:val="1"/>
      <w:marLeft w:val="0"/>
      <w:marRight w:val="0"/>
      <w:marTop w:val="0"/>
      <w:marBottom w:val="0"/>
      <w:divBdr>
        <w:top w:val="none" w:sz="0" w:space="0" w:color="auto"/>
        <w:left w:val="none" w:sz="0" w:space="0" w:color="auto"/>
        <w:bottom w:val="none" w:sz="0" w:space="0" w:color="auto"/>
        <w:right w:val="none" w:sz="0" w:space="0" w:color="auto"/>
      </w:divBdr>
    </w:div>
    <w:div w:id="1104885225">
      <w:bodyDiv w:val="1"/>
      <w:marLeft w:val="0"/>
      <w:marRight w:val="0"/>
      <w:marTop w:val="0"/>
      <w:marBottom w:val="0"/>
      <w:divBdr>
        <w:top w:val="none" w:sz="0" w:space="0" w:color="auto"/>
        <w:left w:val="none" w:sz="0" w:space="0" w:color="auto"/>
        <w:bottom w:val="none" w:sz="0" w:space="0" w:color="auto"/>
        <w:right w:val="none" w:sz="0" w:space="0" w:color="auto"/>
      </w:divBdr>
    </w:div>
    <w:div w:id="1420633550">
      <w:bodyDiv w:val="1"/>
      <w:marLeft w:val="0"/>
      <w:marRight w:val="0"/>
      <w:marTop w:val="0"/>
      <w:marBottom w:val="0"/>
      <w:divBdr>
        <w:top w:val="none" w:sz="0" w:space="0" w:color="auto"/>
        <w:left w:val="none" w:sz="0" w:space="0" w:color="auto"/>
        <w:bottom w:val="none" w:sz="0" w:space="0" w:color="auto"/>
        <w:right w:val="none" w:sz="0" w:space="0" w:color="auto"/>
      </w:divBdr>
    </w:div>
    <w:div w:id="146207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png"/><Relationship Id="rId1" Type="http://schemas.openxmlformats.org/officeDocument/2006/relationships/image" Target="media/image5.png"/><Relationship Id="rId6" Type="http://schemas.openxmlformats.org/officeDocument/2006/relationships/image" Target="media/image3.emf"/><Relationship Id="rId5" Type="http://schemas.openxmlformats.org/officeDocument/2006/relationships/image" Target="media/image1.png"/><Relationship Id="rId4"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CF507-9ACF-492C-98AD-DC4B33B93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2408</Words>
  <Characters>17116</Characters>
  <Application>Microsoft Office Word</Application>
  <DocSecurity>0</DocSecurity>
  <Lines>142</Lines>
  <Paragraphs>38</Paragraphs>
  <ScaleCrop>false</ScaleCrop>
  <HeadingPairs>
    <vt:vector size="2" baseType="variant">
      <vt:variant>
        <vt:lpstr>Titel</vt:lpstr>
      </vt:variant>
      <vt:variant>
        <vt:i4>1</vt:i4>
      </vt:variant>
    </vt:vector>
  </HeadingPairs>
  <TitlesOfParts>
    <vt:vector size="1" baseType="lpstr">
      <vt:lpstr>Eh / 17</vt:lpstr>
    </vt:vector>
  </TitlesOfParts>
  <Company>FEHS</Company>
  <LinksUpToDate>false</LinksUpToDate>
  <CharactersWithSpaces>19486</CharactersWithSpaces>
  <SharedDoc>false</SharedDoc>
  <HLinks>
    <vt:vector size="36" baseType="variant">
      <vt:variant>
        <vt:i4>6422570</vt:i4>
      </vt:variant>
      <vt:variant>
        <vt:i4>6</vt:i4>
      </vt:variant>
      <vt:variant>
        <vt:i4>0</vt:i4>
      </vt:variant>
      <vt:variant>
        <vt:i4>5</vt:i4>
      </vt:variant>
      <vt:variant>
        <vt:lpwstr>https://www.nachhaltigesbauen.de/austausch/beg/</vt:lpwstr>
      </vt:variant>
      <vt:variant>
        <vt:lpwstr/>
      </vt:variant>
      <vt:variant>
        <vt:i4>3997785</vt:i4>
      </vt:variant>
      <vt:variant>
        <vt:i4>12</vt:i4>
      </vt:variant>
      <vt:variant>
        <vt:i4>0</vt:i4>
      </vt:variant>
      <vt:variant>
        <vt:i4>5</vt:i4>
      </vt:variant>
      <vt:variant>
        <vt:lpwstr>https://recht.nrw.de/lmi/owa/br_text_anzeigen?v_id=10000000000000000534</vt:lpwstr>
      </vt:variant>
      <vt:variant>
        <vt:lpwstr/>
      </vt:variant>
      <vt:variant>
        <vt:i4>4325380</vt:i4>
      </vt:variant>
      <vt:variant>
        <vt:i4>9</vt:i4>
      </vt:variant>
      <vt:variant>
        <vt:i4>0</vt:i4>
      </vt:variant>
      <vt:variant>
        <vt:i4>5</vt:i4>
      </vt:variant>
      <vt:variant>
        <vt:lpwstr>http://www.dafstb.de/nachhaltigkeit.html</vt:lpwstr>
      </vt:variant>
      <vt:variant>
        <vt:lpwstr/>
      </vt:variant>
      <vt:variant>
        <vt:i4>6684713</vt:i4>
      </vt:variant>
      <vt:variant>
        <vt:i4>6</vt:i4>
      </vt:variant>
      <vt:variant>
        <vt:i4>0</vt:i4>
      </vt:variant>
      <vt:variant>
        <vt:i4>5</vt:i4>
      </vt:variant>
      <vt:variant>
        <vt:lpwstr>https://www.kalksandstein.de/service-und-aktuelles/downloads-und-arbeitshilfen/</vt:lpwstr>
      </vt:variant>
      <vt:variant>
        <vt:lpwstr/>
      </vt:variant>
      <vt:variant>
        <vt:i4>8192127</vt:i4>
      </vt:variant>
      <vt:variant>
        <vt:i4>3</vt:i4>
      </vt:variant>
      <vt:variant>
        <vt:i4>0</vt:i4>
      </vt:variant>
      <vt:variant>
        <vt:i4>5</vt:i4>
      </vt:variant>
      <vt:variant>
        <vt:lpwstr>https://www.vdz-online.de/aktuelles/deutsche-zementindustrie-auf-dem-weg-in-eine-co2-freie-zukunft</vt:lpwstr>
      </vt:variant>
      <vt:variant>
        <vt:lpwstr/>
      </vt:variant>
      <vt:variant>
        <vt:i4>4587585</vt:i4>
      </vt:variant>
      <vt:variant>
        <vt:i4>0</vt:i4>
      </vt:variant>
      <vt:variant>
        <vt:i4>0</vt:i4>
      </vt:variant>
      <vt:variant>
        <vt:i4>5</vt:i4>
      </vt:variant>
      <vt:variant>
        <vt:lpwstr>https://www.dibt.de/de/wir-bieten/technische-baubestimmungen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 / 17</dc:title>
  <dc:subject/>
  <dc:creator>Ehrenberg</dc:creator>
  <cp:keywords/>
  <cp:lastModifiedBy>Jasmin Klöckner</cp:lastModifiedBy>
  <cp:revision>2</cp:revision>
  <cp:lastPrinted>2024-09-10T09:56:00Z</cp:lastPrinted>
  <dcterms:created xsi:type="dcterms:W3CDTF">2024-09-18T12:38:00Z</dcterms:created>
  <dcterms:modified xsi:type="dcterms:W3CDTF">2024-09-18T12:38:00Z</dcterms:modified>
</cp:coreProperties>
</file>