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75B74" w14:textId="77777777" w:rsidR="00D622F6" w:rsidRPr="00D622F6" w:rsidRDefault="00D622F6" w:rsidP="00D622F6">
      <w:pPr>
        <w:rPr>
          <w:rFonts w:cstheme="minorHAnsi"/>
          <w:b/>
          <w:bCs/>
          <w:color w:val="A3D14F"/>
          <w:sz w:val="28"/>
          <w:szCs w:val="28"/>
          <w:u w:val="single"/>
        </w:rPr>
      </w:pPr>
      <w:bookmarkStart w:id="0" w:name="_Hlk65238600"/>
      <w:r w:rsidRPr="00D622F6">
        <w:rPr>
          <w:rFonts w:cstheme="minorHAnsi"/>
          <w:b/>
          <w:bCs/>
          <w:color w:val="A3D14F"/>
          <w:sz w:val="28"/>
          <w:szCs w:val="28"/>
          <w:u w:val="single"/>
        </w:rPr>
        <w:t>STELLUNGNAHME</w:t>
      </w:r>
      <w:r w:rsidR="00BF4B9C" w:rsidRPr="00D622F6">
        <w:rPr>
          <w:rFonts w:cstheme="minorHAnsi"/>
          <w:b/>
          <w:bCs/>
          <w:color w:val="A3D14F"/>
          <w:sz w:val="28"/>
          <w:szCs w:val="28"/>
          <w:u w:val="single"/>
        </w:rPr>
        <w:br/>
      </w:r>
    </w:p>
    <w:p w14:paraId="7CDEEDAD" w14:textId="3877BD80" w:rsidR="00CC6EBA" w:rsidRDefault="0068516D" w:rsidP="004B1C96">
      <w:pPr>
        <w:tabs>
          <w:tab w:val="left" w:pos="4740"/>
        </w:tabs>
        <w:rPr>
          <w:rFonts w:cstheme="minorHAnsi"/>
          <w:sz w:val="20"/>
          <w:szCs w:val="20"/>
        </w:rPr>
      </w:pPr>
      <w:r>
        <w:rPr>
          <w:rFonts w:cstheme="minorHAnsi"/>
          <w:b/>
          <w:bCs/>
          <w:sz w:val="28"/>
          <w:szCs w:val="28"/>
        </w:rPr>
        <w:t>Z</w:t>
      </w:r>
      <w:r w:rsidR="00511313">
        <w:rPr>
          <w:rFonts w:cstheme="minorHAnsi"/>
          <w:b/>
          <w:bCs/>
          <w:sz w:val="28"/>
          <w:szCs w:val="28"/>
        </w:rPr>
        <w:t>u</w:t>
      </w:r>
      <w:r>
        <w:rPr>
          <w:rFonts w:cstheme="minorHAnsi"/>
          <w:b/>
          <w:bCs/>
          <w:sz w:val="28"/>
          <w:szCs w:val="28"/>
        </w:rPr>
        <w:t xml:space="preserve"> </w:t>
      </w:r>
      <w:r w:rsidR="000769DE">
        <w:rPr>
          <w:rFonts w:cstheme="minorHAnsi"/>
          <w:b/>
          <w:bCs/>
          <w:sz w:val="28"/>
          <w:szCs w:val="28"/>
        </w:rPr>
        <w:t>den</w:t>
      </w:r>
      <w:r w:rsidR="00511313">
        <w:rPr>
          <w:rFonts w:cstheme="minorHAnsi"/>
          <w:b/>
          <w:bCs/>
          <w:sz w:val="28"/>
          <w:szCs w:val="28"/>
        </w:rPr>
        <w:t xml:space="preserve"> </w:t>
      </w:r>
      <w:r w:rsidR="004B1C96" w:rsidRPr="004B1C96">
        <w:rPr>
          <w:rFonts w:cstheme="minorHAnsi"/>
          <w:b/>
          <w:bCs/>
          <w:sz w:val="28"/>
          <w:szCs w:val="28"/>
        </w:rPr>
        <w:t>Entw</w:t>
      </w:r>
      <w:r w:rsidR="000769DE">
        <w:rPr>
          <w:rFonts w:cstheme="minorHAnsi"/>
          <w:b/>
          <w:bCs/>
          <w:sz w:val="28"/>
          <w:szCs w:val="28"/>
        </w:rPr>
        <w:t>ü</w:t>
      </w:r>
      <w:r w:rsidR="004B1C96" w:rsidRPr="004B1C96">
        <w:rPr>
          <w:rFonts w:cstheme="minorHAnsi"/>
          <w:b/>
          <w:bCs/>
          <w:sz w:val="28"/>
          <w:szCs w:val="28"/>
        </w:rPr>
        <w:t>rf</w:t>
      </w:r>
      <w:r w:rsidR="000769DE">
        <w:rPr>
          <w:rFonts w:cstheme="minorHAnsi"/>
          <w:b/>
          <w:bCs/>
          <w:sz w:val="28"/>
          <w:szCs w:val="28"/>
        </w:rPr>
        <w:t>en</w:t>
      </w:r>
      <w:r w:rsidR="004B1C96" w:rsidRPr="004B1C96">
        <w:rPr>
          <w:rFonts w:cstheme="minorHAnsi"/>
          <w:b/>
          <w:bCs/>
          <w:sz w:val="28"/>
          <w:szCs w:val="28"/>
        </w:rPr>
        <w:t xml:space="preserve"> eines </w:t>
      </w:r>
      <w:r w:rsidR="000769DE">
        <w:rPr>
          <w:rFonts w:cstheme="minorHAnsi"/>
          <w:b/>
          <w:bCs/>
          <w:sz w:val="28"/>
          <w:szCs w:val="28"/>
        </w:rPr>
        <w:t>Mantelg</w:t>
      </w:r>
      <w:r w:rsidR="004B1C96" w:rsidRPr="004B1C96">
        <w:rPr>
          <w:rFonts w:cstheme="minorHAnsi"/>
          <w:b/>
          <w:bCs/>
          <w:sz w:val="28"/>
          <w:szCs w:val="28"/>
        </w:rPr>
        <w:t>esetzes</w:t>
      </w:r>
      <w:r w:rsidR="000769DE">
        <w:rPr>
          <w:rFonts w:cstheme="minorHAnsi"/>
          <w:b/>
          <w:bCs/>
          <w:sz w:val="28"/>
          <w:szCs w:val="28"/>
        </w:rPr>
        <w:t xml:space="preserve"> und einer Mantelverordnung </w:t>
      </w:r>
      <w:r w:rsidR="00AF6F50">
        <w:rPr>
          <w:rFonts w:cstheme="minorHAnsi"/>
          <w:b/>
          <w:bCs/>
          <w:sz w:val="28"/>
          <w:szCs w:val="28"/>
        </w:rPr>
        <w:t>zur Umsetzung der IE</w:t>
      </w:r>
      <w:r w:rsidR="0067508B">
        <w:rPr>
          <w:rFonts w:cstheme="minorHAnsi"/>
          <w:b/>
          <w:bCs/>
          <w:sz w:val="28"/>
          <w:szCs w:val="28"/>
        </w:rPr>
        <w:t>-</w:t>
      </w:r>
      <w:r w:rsidR="00AF6F50">
        <w:rPr>
          <w:rFonts w:cstheme="minorHAnsi"/>
          <w:b/>
          <w:bCs/>
          <w:sz w:val="28"/>
          <w:szCs w:val="28"/>
        </w:rPr>
        <w:t>Richtlinie; Anhörung der Verbände</w:t>
      </w:r>
      <w:r w:rsidR="00093531">
        <w:rPr>
          <w:rFonts w:cstheme="minorHAnsi"/>
          <w:b/>
          <w:bCs/>
          <w:sz w:val="28"/>
          <w:szCs w:val="28"/>
        </w:rPr>
        <w:t xml:space="preserve"> </w:t>
      </w:r>
      <w:r w:rsidR="00093531" w:rsidRPr="00093531">
        <w:rPr>
          <w:rFonts w:cstheme="minorHAnsi"/>
          <w:b/>
          <w:bCs/>
          <w:sz w:val="28"/>
          <w:szCs w:val="28"/>
        </w:rPr>
        <w:t>(CI2-5012/032)</w:t>
      </w:r>
    </w:p>
    <w:p w14:paraId="31D518E2" w14:textId="77777777" w:rsidR="00CC6EBA" w:rsidRDefault="00CC6EBA" w:rsidP="00C47D4F">
      <w:pPr>
        <w:tabs>
          <w:tab w:val="left" w:pos="4740"/>
        </w:tabs>
        <w:rPr>
          <w:rFonts w:cstheme="minorHAnsi"/>
          <w:sz w:val="20"/>
          <w:szCs w:val="20"/>
        </w:rPr>
      </w:pPr>
    </w:p>
    <w:p w14:paraId="4324FBB3" w14:textId="77777777" w:rsidR="00CC6EBA" w:rsidRDefault="00CC6EBA" w:rsidP="00C47D4F">
      <w:pPr>
        <w:tabs>
          <w:tab w:val="left" w:pos="4740"/>
        </w:tabs>
        <w:rPr>
          <w:rFonts w:cstheme="minorHAnsi"/>
          <w:sz w:val="20"/>
          <w:szCs w:val="20"/>
        </w:rPr>
      </w:pPr>
    </w:p>
    <w:p w14:paraId="2754FB5D" w14:textId="77777777" w:rsidR="00CC6EBA" w:rsidRDefault="00CC6EBA" w:rsidP="00C47D4F">
      <w:pPr>
        <w:tabs>
          <w:tab w:val="left" w:pos="4740"/>
        </w:tabs>
        <w:rPr>
          <w:rFonts w:cstheme="minorHAnsi"/>
          <w:sz w:val="20"/>
          <w:szCs w:val="20"/>
        </w:rPr>
      </w:pPr>
    </w:p>
    <w:p w14:paraId="3902B94B" w14:textId="77777777" w:rsidR="007648A2" w:rsidRDefault="007648A2" w:rsidP="00C47D4F">
      <w:pPr>
        <w:tabs>
          <w:tab w:val="left" w:pos="4740"/>
        </w:tabs>
        <w:rPr>
          <w:rFonts w:cstheme="minorHAnsi"/>
          <w:sz w:val="20"/>
          <w:szCs w:val="20"/>
        </w:rPr>
      </w:pPr>
    </w:p>
    <w:p w14:paraId="6EA8D5F1" w14:textId="77777777" w:rsidR="007648A2" w:rsidRDefault="007648A2" w:rsidP="00C47D4F">
      <w:pPr>
        <w:tabs>
          <w:tab w:val="left" w:pos="4740"/>
        </w:tabs>
        <w:rPr>
          <w:rFonts w:cstheme="minorHAnsi"/>
          <w:sz w:val="20"/>
          <w:szCs w:val="20"/>
        </w:rPr>
      </w:pPr>
    </w:p>
    <w:p w14:paraId="5C32B05E" w14:textId="7CD8E1A2" w:rsidR="00450C33" w:rsidRPr="00B708E2" w:rsidRDefault="00C47D4F" w:rsidP="00C47D4F">
      <w:pPr>
        <w:tabs>
          <w:tab w:val="left" w:pos="4740"/>
        </w:tabs>
        <w:rPr>
          <w:rFonts w:cstheme="minorHAnsi"/>
          <w:sz w:val="20"/>
          <w:szCs w:val="20"/>
        </w:rPr>
      </w:pPr>
      <w:r>
        <w:rPr>
          <w:rFonts w:cstheme="minorHAnsi"/>
          <w:sz w:val="20"/>
          <w:szCs w:val="20"/>
        </w:rPr>
        <w:tab/>
      </w:r>
    </w:p>
    <w:p w14:paraId="11D4D62C" w14:textId="72204B63" w:rsidR="00646484" w:rsidRPr="00646484" w:rsidRDefault="00646484" w:rsidP="00646484">
      <w:pPr>
        <w:ind w:right="-569"/>
        <w:rPr>
          <w:i/>
          <w:iCs/>
          <w:sz w:val="20"/>
          <w:szCs w:val="20"/>
        </w:rPr>
      </w:pPr>
      <w:r w:rsidRPr="00646484">
        <w:rPr>
          <w:b/>
          <w:bCs/>
          <w:i/>
          <w:iCs/>
          <w:sz w:val="20"/>
          <w:szCs w:val="20"/>
        </w:rPr>
        <w:t>ITAD</w:t>
      </w:r>
      <w:r w:rsidRPr="00646484">
        <w:rPr>
          <w:i/>
          <w:iCs/>
          <w:sz w:val="20"/>
          <w:szCs w:val="20"/>
        </w:rPr>
        <w:t xml:space="preserve"> ist die Interessengemeinschaft der Thermischen Abfallbehandlungsanlagen in Deutschland. Über </w:t>
      </w:r>
      <w:r w:rsidR="00CC6EBA">
        <w:rPr>
          <w:i/>
          <w:iCs/>
          <w:sz w:val="20"/>
          <w:szCs w:val="20"/>
        </w:rPr>
        <w:t>9</w:t>
      </w:r>
      <w:r w:rsidRPr="00646484">
        <w:rPr>
          <w:i/>
          <w:iCs/>
          <w:sz w:val="20"/>
          <w:szCs w:val="20"/>
        </w:rPr>
        <w:t>0 Thermische Abfallbehandlungsanlagen (TAB) mit rund 9</w:t>
      </w:r>
      <w:r w:rsidR="00CC6EBA">
        <w:rPr>
          <w:i/>
          <w:iCs/>
          <w:sz w:val="20"/>
          <w:szCs w:val="20"/>
        </w:rPr>
        <w:t>5</w:t>
      </w:r>
      <w:r w:rsidRPr="00646484">
        <w:rPr>
          <w:i/>
          <w:iCs/>
          <w:sz w:val="20"/>
          <w:szCs w:val="20"/>
        </w:rPr>
        <w:t xml:space="preserve"> % der bundesdeutschen Behandlungskapazität sind Mitglied der ITAD. Sie verwerten mit fast 7.000 Mitarbeitern jährlich rund 25 Mio. Tonnen Abfälle, überwiegend aus Haushalten und Gewerbe. Damit gewährleisten sie maßgeblich die Entsorgungssicherheit für Bürger und Industrie. Durch die Substitution von Strom und Wärme aus fossilen Energieträgern sowie der Verwertung der Metalle aus den Verbrennungsrückständen betrug der Beitrag der TAB zum Klimaschutz 202</w:t>
      </w:r>
      <w:r w:rsidR="00CC6EBA">
        <w:rPr>
          <w:i/>
          <w:iCs/>
          <w:sz w:val="20"/>
          <w:szCs w:val="20"/>
        </w:rPr>
        <w:t>1</w:t>
      </w:r>
      <w:r w:rsidRPr="00646484">
        <w:rPr>
          <w:i/>
          <w:iCs/>
          <w:sz w:val="20"/>
          <w:szCs w:val="20"/>
        </w:rPr>
        <w:t xml:space="preserve"> über 7 Mio. t CO</w:t>
      </w:r>
      <w:r w:rsidRPr="00646484">
        <w:rPr>
          <w:i/>
          <w:iCs/>
          <w:sz w:val="20"/>
          <w:szCs w:val="20"/>
          <w:vertAlign w:val="subscript"/>
        </w:rPr>
        <w:t>2</w:t>
      </w:r>
      <w:r w:rsidRPr="00646484">
        <w:rPr>
          <w:i/>
          <w:iCs/>
          <w:sz w:val="20"/>
          <w:szCs w:val="20"/>
        </w:rPr>
        <w:t>-Äquivalente.</w:t>
      </w:r>
    </w:p>
    <w:p w14:paraId="2D2906EA" w14:textId="77777777" w:rsidR="00646484" w:rsidRPr="00646484" w:rsidRDefault="00646484" w:rsidP="00646484">
      <w:pPr>
        <w:rPr>
          <w:sz w:val="20"/>
          <w:szCs w:val="20"/>
        </w:rPr>
      </w:pPr>
    </w:p>
    <w:p w14:paraId="4EB9083D" w14:textId="06114F85" w:rsidR="00646484" w:rsidRPr="00CD13DD" w:rsidRDefault="00646484" w:rsidP="00646484">
      <w:pPr>
        <w:rPr>
          <w:i/>
          <w:iCs/>
          <w:color w:val="BFBFBF" w:themeColor="background1" w:themeShade="BF"/>
          <w:sz w:val="20"/>
          <w:szCs w:val="20"/>
        </w:rPr>
      </w:pPr>
      <w:r w:rsidRPr="00CD13DD">
        <w:rPr>
          <w:b/>
          <w:bCs/>
          <w:i/>
          <w:iCs/>
          <w:color w:val="BFBFBF" w:themeColor="background1" w:themeShade="BF"/>
          <w:sz w:val="20"/>
          <w:szCs w:val="20"/>
        </w:rPr>
        <w:t>Interessenvertretung</w:t>
      </w:r>
      <w:r w:rsidRPr="00CD13DD">
        <w:rPr>
          <w:b/>
          <w:bCs/>
          <w:i/>
          <w:iCs/>
          <w:color w:val="BFBFBF" w:themeColor="background1" w:themeShade="BF"/>
          <w:sz w:val="20"/>
          <w:szCs w:val="20"/>
        </w:rPr>
        <w:br/>
      </w:r>
      <w:r w:rsidRPr="00CD13DD">
        <w:rPr>
          <w:i/>
          <w:iCs/>
          <w:color w:val="BFBFBF" w:themeColor="background1" w:themeShade="BF"/>
          <w:sz w:val="20"/>
          <w:szCs w:val="20"/>
        </w:rPr>
        <w:t xml:space="preserve">ITAD ist registrierte Interessenvertreterin und wird im Lobbyregister des Bundes unter der Registernummer: R000996 geführt. ITAD betreibt Interessenvertretung auf der Grundlage des „Verhaltenskodex für Interessenvertreterinnen und Interessenvertreter im Rahmen des Lobbyregistergesetzes“. </w:t>
      </w:r>
    </w:p>
    <w:p w14:paraId="538C177A" w14:textId="77777777" w:rsidR="00593A0C" w:rsidRDefault="00593A0C" w:rsidP="00CC068C">
      <w:pPr>
        <w:spacing w:before="100" w:beforeAutospacing="1" w:after="100" w:afterAutospacing="1"/>
        <w:rPr>
          <w:rFonts w:eastAsia="Times New Roman" w:cs="Times New Roman"/>
          <w:i/>
          <w:iCs/>
          <w:sz w:val="20"/>
          <w:szCs w:val="20"/>
          <w:lang w:eastAsia="de-DE"/>
        </w:rPr>
      </w:pPr>
    </w:p>
    <w:p w14:paraId="43FFB8B6" w14:textId="77777777" w:rsidR="00593A0C" w:rsidRDefault="00593A0C" w:rsidP="00CC068C">
      <w:pPr>
        <w:spacing w:before="100" w:beforeAutospacing="1" w:after="100" w:afterAutospacing="1"/>
        <w:rPr>
          <w:rFonts w:eastAsia="Times New Roman" w:cs="Times New Roman"/>
          <w:i/>
          <w:iCs/>
          <w:sz w:val="20"/>
          <w:szCs w:val="20"/>
          <w:lang w:eastAsia="de-DE"/>
        </w:rPr>
      </w:pPr>
    </w:p>
    <w:p w14:paraId="65B05025" w14:textId="2E267B3E" w:rsidR="00593A0C" w:rsidRPr="00593A0C" w:rsidRDefault="00593A0C" w:rsidP="00CC068C">
      <w:pPr>
        <w:spacing w:before="100" w:beforeAutospacing="1" w:after="100" w:afterAutospacing="1"/>
        <w:rPr>
          <w:rFonts w:eastAsia="Times New Roman" w:cs="Times New Roman"/>
          <w:b/>
          <w:bCs/>
          <w:color w:val="92D050"/>
          <w:sz w:val="20"/>
          <w:szCs w:val="20"/>
          <w:lang w:eastAsia="de-DE"/>
        </w:rPr>
      </w:pPr>
      <w:r w:rsidRPr="00593A0C">
        <w:rPr>
          <w:rFonts w:eastAsia="Times New Roman" w:cs="Times New Roman"/>
          <w:b/>
          <w:bCs/>
          <w:color w:val="92D050"/>
          <w:sz w:val="20"/>
          <w:szCs w:val="20"/>
          <w:lang w:eastAsia="de-DE"/>
        </w:rPr>
        <w:t>Kontakt:</w:t>
      </w:r>
    </w:p>
    <w:p w14:paraId="0636F439" w14:textId="18A945D8" w:rsidR="00680ED2" w:rsidRDefault="00680ED2" w:rsidP="00087A47">
      <w:pPr>
        <w:spacing w:before="100" w:beforeAutospacing="1" w:after="0"/>
        <w:rPr>
          <w:rFonts w:eastAsia="Times New Roman" w:cs="Times New Roman"/>
          <w:color w:val="92D050"/>
          <w:sz w:val="20"/>
          <w:szCs w:val="20"/>
          <w:lang w:eastAsia="de-DE"/>
        </w:rPr>
      </w:pPr>
      <w:r w:rsidRPr="009C5A88">
        <w:rPr>
          <w:rFonts w:eastAsia="Times New Roman" w:cs="Times New Roman"/>
          <w:color w:val="92D050"/>
          <w:sz w:val="20"/>
          <w:szCs w:val="20"/>
          <w:lang w:eastAsia="de-DE"/>
        </w:rPr>
        <w:t xml:space="preserve">ITAD - Interessengemeinschaft der Thermischen Abfallbehandlungsanlagen in Deutschland e.V. </w:t>
      </w:r>
      <w:r w:rsidR="002B5CC4" w:rsidRPr="009C5A88">
        <w:rPr>
          <w:rFonts w:eastAsia="Times New Roman" w:cs="Times New Roman"/>
          <w:b/>
          <w:bCs/>
          <w:color w:val="92D050"/>
          <w:sz w:val="20"/>
          <w:szCs w:val="20"/>
          <w:lang w:eastAsia="de-DE"/>
        </w:rPr>
        <w:sym w:font="Symbol" w:char="F0D7"/>
      </w:r>
      <w:r w:rsidR="002B5CC4" w:rsidRPr="009C5A88">
        <w:rPr>
          <w:rFonts w:eastAsia="Times New Roman" w:cs="Times New Roman"/>
          <w:color w:val="92D050"/>
          <w:sz w:val="20"/>
          <w:szCs w:val="20"/>
          <w:lang w:eastAsia="de-DE"/>
        </w:rPr>
        <w:t xml:space="preserve"> </w:t>
      </w:r>
      <w:r w:rsidRPr="009C5A88">
        <w:rPr>
          <w:rFonts w:eastAsia="Times New Roman" w:cs="Times New Roman"/>
          <w:color w:val="92D050"/>
          <w:sz w:val="20"/>
          <w:szCs w:val="20"/>
          <w:lang w:eastAsia="de-DE"/>
        </w:rPr>
        <w:t>Peter-Müller-Straße 16a</w:t>
      </w:r>
      <w:r w:rsidR="002B5CC4" w:rsidRPr="009C5A88">
        <w:rPr>
          <w:rFonts w:eastAsia="Times New Roman" w:cs="Times New Roman"/>
          <w:color w:val="92D050"/>
          <w:sz w:val="20"/>
          <w:szCs w:val="20"/>
          <w:lang w:eastAsia="de-DE"/>
        </w:rPr>
        <w:t xml:space="preserve"> </w:t>
      </w:r>
      <w:r w:rsidR="002B5CC4" w:rsidRPr="009C5A88">
        <w:rPr>
          <w:rFonts w:eastAsia="Times New Roman" w:cs="Times New Roman"/>
          <w:b/>
          <w:bCs/>
          <w:color w:val="92D050"/>
          <w:sz w:val="20"/>
          <w:szCs w:val="20"/>
          <w:lang w:eastAsia="de-DE"/>
        </w:rPr>
        <w:sym w:font="Symbol" w:char="F0D7"/>
      </w:r>
      <w:r w:rsidR="002B5CC4" w:rsidRPr="009C5A88">
        <w:rPr>
          <w:rFonts w:eastAsia="Times New Roman" w:cs="Times New Roman"/>
          <w:color w:val="92D050"/>
          <w:sz w:val="20"/>
          <w:szCs w:val="20"/>
          <w:lang w:eastAsia="de-DE"/>
        </w:rPr>
        <w:t xml:space="preserve"> </w:t>
      </w:r>
      <w:r w:rsidRPr="009C5A88">
        <w:rPr>
          <w:rFonts w:eastAsia="Times New Roman" w:cs="Times New Roman"/>
          <w:color w:val="92D050"/>
          <w:sz w:val="20"/>
          <w:szCs w:val="20"/>
          <w:lang w:eastAsia="de-DE"/>
        </w:rPr>
        <w:t>D-40468 Düsseldorf</w:t>
      </w:r>
    </w:p>
    <w:p w14:paraId="4368B14D" w14:textId="005430C6" w:rsidR="003C21C7" w:rsidRPr="009C5A88" w:rsidRDefault="003C21C7" w:rsidP="00087A47">
      <w:pPr>
        <w:spacing w:after="0"/>
        <w:rPr>
          <w:rFonts w:eastAsia="Times New Roman" w:cs="Times New Roman"/>
          <w:color w:val="92D050"/>
          <w:sz w:val="20"/>
          <w:szCs w:val="20"/>
          <w:lang w:eastAsia="de-DE"/>
        </w:rPr>
      </w:pPr>
      <w:r w:rsidRPr="003C21C7">
        <w:rPr>
          <w:rFonts w:eastAsia="Times New Roman" w:cs="Times New Roman"/>
          <w:color w:val="92D050"/>
          <w:sz w:val="20"/>
          <w:szCs w:val="20"/>
          <w:lang w:eastAsia="de-DE"/>
        </w:rPr>
        <w:t xml:space="preserve">Tel.: +49 (0)211 93 67 609 </w:t>
      </w:r>
      <w:r>
        <w:rPr>
          <w:rFonts w:eastAsia="Times New Roman" w:cs="Times New Roman"/>
          <w:color w:val="92D050"/>
          <w:sz w:val="20"/>
          <w:szCs w:val="20"/>
          <w:lang w:eastAsia="de-DE"/>
        </w:rPr>
        <w:t>–</w:t>
      </w:r>
      <w:r w:rsidRPr="003C21C7">
        <w:rPr>
          <w:rFonts w:eastAsia="Times New Roman" w:cs="Times New Roman"/>
          <w:color w:val="92D050"/>
          <w:sz w:val="20"/>
          <w:szCs w:val="20"/>
          <w:lang w:eastAsia="de-DE"/>
        </w:rPr>
        <w:t xml:space="preserve"> 0</w:t>
      </w:r>
      <w:r>
        <w:rPr>
          <w:rFonts w:eastAsia="Times New Roman" w:cs="Times New Roman"/>
          <w:color w:val="92D050"/>
          <w:sz w:val="20"/>
          <w:szCs w:val="20"/>
          <w:lang w:eastAsia="de-DE"/>
        </w:rPr>
        <w:t xml:space="preserve"> </w:t>
      </w:r>
      <w:r w:rsidR="00D66B8C" w:rsidRPr="00D66B8C">
        <w:rPr>
          <w:rFonts w:eastAsia="Times New Roman" w:cs="Times New Roman"/>
          <w:color w:val="92D050"/>
          <w:sz w:val="20"/>
          <w:szCs w:val="20"/>
          <w:lang w:eastAsia="de-DE"/>
        </w:rPr>
        <w:sym w:font="Symbol" w:char="F0D7"/>
      </w:r>
      <w:r w:rsidR="00D66B8C" w:rsidRPr="00D66B8C">
        <w:rPr>
          <w:rFonts w:eastAsia="Times New Roman" w:cs="Times New Roman"/>
          <w:color w:val="92D050"/>
          <w:sz w:val="20"/>
          <w:szCs w:val="20"/>
          <w:lang w:eastAsia="de-DE"/>
        </w:rPr>
        <w:t xml:space="preserve"> </w:t>
      </w:r>
      <w:hyperlink r:id="rId12" w:history="1">
        <w:r w:rsidR="00D66B8C" w:rsidRPr="00D66B8C">
          <w:rPr>
            <w:color w:val="92D050"/>
            <w:lang w:eastAsia="de-DE"/>
          </w:rPr>
          <w:t>info@itad.de</w:t>
        </w:r>
      </w:hyperlink>
      <w:r w:rsidR="00D66B8C" w:rsidRPr="00D66B8C">
        <w:rPr>
          <w:rFonts w:eastAsia="Times New Roman" w:cs="Times New Roman"/>
          <w:color w:val="92D050"/>
          <w:sz w:val="20"/>
          <w:szCs w:val="20"/>
          <w:lang w:eastAsia="de-DE"/>
        </w:rPr>
        <w:t xml:space="preserve"> </w:t>
      </w:r>
      <w:r w:rsidR="00D66B8C" w:rsidRPr="00D66B8C">
        <w:rPr>
          <w:rFonts w:eastAsia="Times New Roman" w:cs="Times New Roman"/>
          <w:color w:val="92D050"/>
          <w:sz w:val="20"/>
          <w:szCs w:val="20"/>
          <w:lang w:eastAsia="de-DE"/>
        </w:rPr>
        <w:sym w:font="Symbol" w:char="F0D7"/>
      </w:r>
      <w:r w:rsidR="00D66B8C" w:rsidRPr="00D66B8C">
        <w:rPr>
          <w:rFonts w:eastAsia="Times New Roman" w:cs="Times New Roman"/>
          <w:color w:val="92D050"/>
          <w:sz w:val="20"/>
          <w:szCs w:val="20"/>
          <w:lang w:eastAsia="de-DE"/>
        </w:rPr>
        <w:t xml:space="preserve"> </w:t>
      </w:r>
      <w:hyperlink r:id="rId13" w:history="1">
        <w:r w:rsidR="00D66B8C" w:rsidRPr="00D66B8C">
          <w:rPr>
            <w:rFonts w:eastAsia="Times New Roman" w:cs="Times New Roman"/>
            <w:color w:val="92D050"/>
            <w:sz w:val="20"/>
            <w:szCs w:val="20"/>
            <w:lang w:eastAsia="de-DE"/>
          </w:rPr>
          <w:t>www.itad.de</w:t>
        </w:r>
      </w:hyperlink>
    </w:p>
    <w:bookmarkEnd w:id="0"/>
    <w:p w14:paraId="554F4162" w14:textId="77777777" w:rsidR="00116D8F" w:rsidRDefault="00116D8F" w:rsidP="00120C80">
      <w:pPr>
        <w:rPr>
          <w:sz w:val="20"/>
          <w:szCs w:val="20"/>
        </w:rPr>
      </w:pPr>
    </w:p>
    <w:p w14:paraId="5143D6AB" w14:textId="157A0F01" w:rsidR="00680ED2" w:rsidRPr="007E76BB" w:rsidRDefault="007E76BB" w:rsidP="00120C80">
      <w:pPr>
        <w:rPr>
          <w:sz w:val="20"/>
          <w:szCs w:val="20"/>
        </w:rPr>
      </w:pPr>
      <w:r w:rsidRPr="007E76BB">
        <w:rPr>
          <w:sz w:val="20"/>
          <w:szCs w:val="20"/>
        </w:rPr>
        <w:t>ITAD ist mit der Veröffentlichung dieser Stellungnahme einschließlich der personenbezogenen Daten einverstanden.</w:t>
      </w:r>
    </w:p>
    <w:p w14:paraId="54A4C623" w14:textId="77777777" w:rsidR="007648A2" w:rsidRDefault="007648A2">
      <w:pPr>
        <w:jc w:val="left"/>
        <w:rPr>
          <w:b/>
          <w:bCs/>
          <w:sz w:val="24"/>
          <w:szCs w:val="24"/>
        </w:rPr>
      </w:pPr>
      <w:r>
        <w:rPr>
          <w:b/>
          <w:bCs/>
          <w:sz w:val="24"/>
          <w:szCs w:val="24"/>
        </w:rPr>
        <w:br w:type="page"/>
      </w:r>
    </w:p>
    <w:p w14:paraId="464C2FAF" w14:textId="388B5766" w:rsidR="005006AD" w:rsidRPr="005F7F9C" w:rsidRDefault="00F51082" w:rsidP="001F1AE3">
      <w:pPr>
        <w:rPr>
          <w:b/>
          <w:bCs/>
          <w:sz w:val="24"/>
          <w:szCs w:val="24"/>
        </w:rPr>
      </w:pPr>
      <w:r w:rsidRPr="005F7F9C">
        <w:rPr>
          <w:b/>
          <w:bCs/>
          <w:sz w:val="24"/>
          <w:szCs w:val="24"/>
        </w:rPr>
        <w:lastRenderedPageBreak/>
        <w:t>Präambel</w:t>
      </w:r>
    </w:p>
    <w:p w14:paraId="4942440C" w14:textId="3DCCED76" w:rsidR="005006AD" w:rsidRDefault="00380E81" w:rsidP="00132B07">
      <w:r w:rsidRPr="00B9789F">
        <w:t>ITA</w:t>
      </w:r>
      <w:r w:rsidR="00B9789F" w:rsidRPr="00B9789F">
        <w:t>D</w:t>
      </w:r>
      <w:r w:rsidR="00B9789F">
        <w:t xml:space="preserve"> bedankt sich für die </w:t>
      </w:r>
      <w:r w:rsidR="00A8773B">
        <w:t xml:space="preserve">Möglichkeit der Stellungnahme </w:t>
      </w:r>
      <w:r w:rsidR="001B6E9F">
        <w:t xml:space="preserve">und für die frühzeitige Einbeziehung der Wirtschaft in das </w:t>
      </w:r>
      <w:r w:rsidR="002D4720">
        <w:t>Gesetzgebungsverfahren zu den Entwürfen des Mantel</w:t>
      </w:r>
      <w:r w:rsidR="00FF0420">
        <w:t xml:space="preserve">gesetzes und der Mantelverordnung zur Umsetzung der </w:t>
      </w:r>
      <w:r w:rsidR="0067508B">
        <w:t>IE-Richtlinie in deutsches Recht.</w:t>
      </w:r>
    </w:p>
    <w:p w14:paraId="1AFA92EA" w14:textId="4AAC8FA8" w:rsidR="00A451D7" w:rsidRDefault="00F9790A" w:rsidP="00132B07">
      <w:r>
        <w:t xml:space="preserve">Die </w:t>
      </w:r>
      <w:r w:rsidR="00F727E1">
        <w:t xml:space="preserve">IE-Richtlinie hat für die Branche der thermischen Abfallbehandlung eine besondere </w:t>
      </w:r>
      <w:r w:rsidR="00C20CD4">
        <w:t xml:space="preserve">Bedeutung, da mit nur wenigen Ausnahmen </w:t>
      </w:r>
      <w:r w:rsidR="00723A9C">
        <w:t>alle unsere Mitgliedsanlagen IED-Anlagen sind.</w:t>
      </w:r>
      <w:r w:rsidR="0041312B">
        <w:t xml:space="preserve"> </w:t>
      </w:r>
      <w:r w:rsidR="00FE41E5">
        <w:t xml:space="preserve">Damit unterliegen sie, neben den </w:t>
      </w:r>
      <w:r w:rsidR="002771FD">
        <w:t xml:space="preserve">Überwachungs- und Berichtspflichten, die sich allein aus </w:t>
      </w:r>
      <w:r w:rsidR="008F0A20">
        <w:t xml:space="preserve">den nationalen Regelungen </w:t>
      </w:r>
      <w:r w:rsidR="004C3E84">
        <w:t>ergeben</w:t>
      </w:r>
      <w:r w:rsidR="008F0A20">
        <w:t>, auch den zunehmend</w:t>
      </w:r>
      <w:r w:rsidR="00764927">
        <w:t xml:space="preserve"> komplexer werden Überwachungs- und Berichtspflichten der europäischen Gesetzgebung.</w:t>
      </w:r>
    </w:p>
    <w:p w14:paraId="09AC7A42" w14:textId="0B8E8B2F" w:rsidR="005652B0" w:rsidRDefault="00285232" w:rsidP="00132B07">
      <w:r>
        <w:t>Im Gegensatz zu vielen anderen Kategorien von IED-Anlag</w:t>
      </w:r>
      <w:r w:rsidR="00515C53">
        <w:t xml:space="preserve">en </w:t>
      </w:r>
      <w:r w:rsidR="00E60EC1">
        <w:t>weisen</w:t>
      </w:r>
      <w:r w:rsidR="00C63884">
        <w:t xml:space="preserve"> TAB besondere Voraussetzungen</w:t>
      </w:r>
      <w:r w:rsidR="00E60EC1">
        <w:t xml:space="preserve"> auf</w:t>
      </w:r>
      <w:r w:rsidR="00C63884">
        <w:t xml:space="preserve">, </w:t>
      </w:r>
      <w:r w:rsidR="00803C3D">
        <w:t>was bei der Gestaltung</w:t>
      </w:r>
      <w:r w:rsidR="00C63884">
        <w:t xml:space="preserve"> gesetzliche</w:t>
      </w:r>
      <w:r w:rsidR="00803C3D">
        <w:t>r</w:t>
      </w:r>
      <w:r w:rsidR="00C63884">
        <w:t xml:space="preserve"> Regelwerke berücksichtigt werden m</w:t>
      </w:r>
      <w:r w:rsidR="00803C3D">
        <w:t>uss</w:t>
      </w:r>
      <w:r w:rsidR="00C63884">
        <w:t xml:space="preserve">. </w:t>
      </w:r>
      <w:r>
        <w:t>TAB sind</w:t>
      </w:r>
      <w:r w:rsidR="000924B6">
        <w:t xml:space="preserve"> ein </w:t>
      </w:r>
      <w:r w:rsidR="009F5437">
        <w:t>essenzieller</w:t>
      </w:r>
      <w:r w:rsidR="000924B6">
        <w:t xml:space="preserve"> Eckpfeiler einer modernen Kreislaufwirtschaft und </w:t>
      </w:r>
      <w:r w:rsidR="007F2DBB">
        <w:t>behandeln die nicht-recyclebaren Ab</w:t>
      </w:r>
      <w:r w:rsidR="00515C53">
        <w:t>fälle</w:t>
      </w:r>
      <w:r w:rsidR="00B532DD">
        <w:t xml:space="preserve">, sodass ihr Schadpotenzial und ihre negativen Auswirkungen </w:t>
      </w:r>
      <w:proofErr w:type="gramStart"/>
      <w:r w:rsidR="00B532DD">
        <w:t>auf Mensch</w:t>
      </w:r>
      <w:proofErr w:type="gramEnd"/>
      <w:r w:rsidR="00B532DD">
        <w:t xml:space="preserve"> und Umwelt </w:t>
      </w:r>
      <w:r w:rsidR="008F60A2">
        <w:t>minimiert wird</w:t>
      </w:r>
      <w:r w:rsidR="00E747B2">
        <w:t xml:space="preserve"> – um die Entsorgungssicherheit zu gewährleisten tun sie dies </w:t>
      </w:r>
      <w:r w:rsidR="009C1D68">
        <w:t>rund um die Uhr</w:t>
      </w:r>
      <w:r w:rsidR="00264823">
        <w:t xml:space="preserve"> als Folge der Abfallerzeugung</w:t>
      </w:r>
      <w:r w:rsidR="00515C53">
        <w:t>.</w:t>
      </w:r>
      <w:r w:rsidR="009F5437">
        <w:t xml:space="preserve"> </w:t>
      </w:r>
      <w:r w:rsidR="008F60A2">
        <w:t xml:space="preserve">Die Art und die Zusammensetzung der behandelten </w:t>
      </w:r>
      <w:r w:rsidR="00E830D6">
        <w:t xml:space="preserve">Abfälle </w:t>
      </w:r>
      <w:r w:rsidR="00682B9A">
        <w:t>unterliegt Schwankungen</w:t>
      </w:r>
      <w:r w:rsidR="00BA5DF9">
        <w:t>,</w:t>
      </w:r>
      <w:r w:rsidR="00682B9A">
        <w:t xml:space="preserve"> </w:t>
      </w:r>
      <w:r w:rsidR="00BA5DF9">
        <w:t>sie sind</w:t>
      </w:r>
      <w:r w:rsidR="00E830D6">
        <w:t xml:space="preserve"> jedoch durch die Betreiber der Anlagen kaum beeinflussbar </w:t>
      </w:r>
      <w:r w:rsidR="00F14B7D">
        <w:t xml:space="preserve">und insofern </w:t>
      </w:r>
      <w:r w:rsidR="00510DEA">
        <w:t>ist das Haupteinsatzmittel „Abfall“</w:t>
      </w:r>
      <w:r w:rsidR="0010294C">
        <w:t xml:space="preserve"> </w:t>
      </w:r>
      <w:r w:rsidR="005652B0">
        <w:t>eine</w:t>
      </w:r>
      <w:r w:rsidR="0010294C">
        <w:t xml:space="preserve"> betriebliche </w:t>
      </w:r>
      <w:r w:rsidR="003B2BC0">
        <w:t>G</w:t>
      </w:r>
      <w:r w:rsidR="0010294C">
        <w:t>röße</w:t>
      </w:r>
      <w:r w:rsidR="00706DFA">
        <w:t>, die</w:t>
      </w:r>
      <w:r w:rsidR="003B2BC0">
        <w:t xml:space="preserve"> sich nur in </w:t>
      </w:r>
      <w:r w:rsidR="00933CDA">
        <w:t>geringem Maße beeinflussen lässt</w:t>
      </w:r>
      <w:r w:rsidR="0010294C">
        <w:t>.</w:t>
      </w:r>
    </w:p>
    <w:p w14:paraId="5A8C7194" w14:textId="77777777" w:rsidR="002776FA" w:rsidRPr="00B9789F" w:rsidRDefault="002776FA" w:rsidP="00132B07"/>
    <w:p w14:paraId="4B107982" w14:textId="64B9CB42" w:rsidR="00EB0AE4" w:rsidRPr="00B9789F" w:rsidRDefault="00EB0AE4" w:rsidP="00132B07"/>
    <w:p w14:paraId="6E43B1CA" w14:textId="739F6D28" w:rsidR="00902D42" w:rsidRDefault="00902D42">
      <w:pPr>
        <w:rPr>
          <w:sz w:val="20"/>
          <w:szCs w:val="20"/>
        </w:rPr>
      </w:pPr>
      <w:r>
        <w:rPr>
          <w:sz w:val="20"/>
          <w:szCs w:val="20"/>
        </w:rPr>
        <w:br w:type="page"/>
      </w:r>
    </w:p>
    <w:sdt>
      <w:sdtPr>
        <w:rPr>
          <w:rFonts w:ascii="Verdana" w:eastAsiaTheme="minorHAnsi" w:hAnsi="Verdana" w:cstheme="minorBidi"/>
          <w:color w:val="auto"/>
          <w:sz w:val="22"/>
          <w:szCs w:val="22"/>
          <w:lang w:eastAsia="en-US"/>
        </w:rPr>
        <w:id w:val="1873568158"/>
        <w:docPartObj>
          <w:docPartGallery w:val="Table of Contents"/>
          <w:docPartUnique/>
        </w:docPartObj>
      </w:sdtPr>
      <w:sdtEndPr>
        <w:rPr>
          <w:b/>
          <w:bCs/>
        </w:rPr>
      </w:sdtEndPr>
      <w:sdtContent>
        <w:p w14:paraId="43C6EF2C" w14:textId="3CE4FD4D" w:rsidR="00D220F4" w:rsidRDefault="00D220F4">
          <w:pPr>
            <w:pStyle w:val="Inhaltsverzeichnisberschrift"/>
          </w:pPr>
          <w:r>
            <w:t>Inhaltsverzeichnis</w:t>
          </w:r>
        </w:p>
        <w:p w14:paraId="1483DAD4" w14:textId="4644C0A2" w:rsidR="003D375E" w:rsidRDefault="00D220F4">
          <w:pPr>
            <w:pStyle w:val="Verzeichnis1"/>
            <w:tabs>
              <w:tab w:val="left" w:pos="440"/>
              <w:tab w:val="right" w:leader="dot" w:pos="8354"/>
            </w:tabs>
            <w:rPr>
              <w:rFonts w:asciiTheme="minorHAnsi" w:eastAsiaTheme="minorEastAsia" w:hAnsiTheme="minorHAnsi"/>
              <w:noProof/>
              <w:kern w:val="2"/>
              <w:sz w:val="24"/>
              <w:szCs w:val="24"/>
              <w:lang w:eastAsia="de-DE"/>
              <w14:ligatures w14:val="standardContextual"/>
            </w:rPr>
          </w:pPr>
          <w:r>
            <w:fldChar w:fldCharType="begin"/>
          </w:r>
          <w:r>
            <w:instrText xml:space="preserve"> TOC \o "1-3" \h \z \u </w:instrText>
          </w:r>
          <w:r>
            <w:fldChar w:fldCharType="separate"/>
          </w:r>
          <w:hyperlink w:anchor="_Toc187825521" w:history="1">
            <w:r w:rsidR="003D375E" w:rsidRPr="00F01B87">
              <w:rPr>
                <w:rStyle w:val="Hyperlink"/>
                <w:noProof/>
              </w:rPr>
              <w:t>1</w:t>
            </w:r>
            <w:r w:rsidR="003D375E">
              <w:rPr>
                <w:rFonts w:asciiTheme="minorHAnsi" w:eastAsiaTheme="minorEastAsia" w:hAnsiTheme="minorHAnsi"/>
                <w:noProof/>
                <w:kern w:val="2"/>
                <w:sz w:val="24"/>
                <w:szCs w:val="24"/>
                <w:lang w:eastAsia="de-DE"/>
                <w14:ligatures w14:val="standardContextual"/>
              </w:rPr>
              <w:tab/>
            </w:r>
            <w:r w:rsidR="003D375E" w:rsidRPr="00F01B87">
              <w:rPr>
                <w:rStyle w:val="Hyperlink"/>
                <w:noProof/>
              </w:rPr>
              <w:t>Allgemeine Vorbemerkungen</w:t>
            </w:r>
            <w:r w:rsidR="003D375E">
              <w:rPr>
                <w:noProof/>
                <w:webHidden/>
              </w:rPr>
              <w:tab/>
            </w:r>
            <w:r w:rsidR="003D375E">
              <w:rPr>
                <w:noProof/>
                <w:webHidden/>
              </w:rPr>
              <w:fldChar w:fldCharType="begin"/>
            </w:r>
            <w:r w:rsidR="003D375E">
              <w:rPr>
                <w:noProof/>
                <w:webHidden/>
              </w:rPr>
              <w:instrText xml:space="preserve"> PAGEREF _Toc187825521 \h </w:instrText>
            </w:r>
            <w:r w:rsidR="003D375E">
              <w:rPr>
                <w:noProof/>
                <w:webHidden/>
              </w:rPr>
            </w:r>
            <w:r w:rsidR="003D375E">
              <w:rPr>
                <w:noProof/>
                <w:webHidden/>
              </w:rPr>
              <w:fldChar w:fldCharType="separate"/>
            </w:r>
            <w:r w:rsidR="003D375E">
              <w:rPr>
                <w:noProof/>
                <w:webHidden/>
              </w:rPr>
              <w:t>5</w:t>
            </w:r>
            <w:r w:rsidR="003D375E">
              <w:rPr>
                <w:noProof/>
                <w:webHidden/>
              </w:rPr>
              <w:fldChar w:fldCharType="end"/>
            </w:r>
          </w:hyperlink>
        </w:p>
        <w:p w14:paraId="216EC265" w14:textId="244E9B97" w:rsidR="003D375E" w:rsidRDefault="003D375E">
          <w:pPr>
            <w:pStyle w:val="Verzeichnis1"/>
            <w:tabs>
              <w:tab w:val="left" w:pos="440"/>
              <w:tab w:val="right" w:leader="dot" w:pos="8354"/>
            </w:tabs>
            <w:rPr>
              <w:rFonts w:asciiTheme="minorHAnsi" w:eastAsiaTheme="minorEastAsia" w:hAnsiTheme="minorHAnsi"/>
              <w:noProof/>
              <w:kern w:val="2"/>
              <w:sz w:val="24"/>
              <w:szCs w:val="24"/>
              <w:lang w:eastAsia="de-DE"/>
              <w14:ligatures w14:val="standardContextual"/>
            </w:rPr>
          </w:pPr>
          <w:hyperlink w:anchor="_Toc187825522" w:history="1">
            <w:r w:rsidRPr="00F01B87">
              <w:rPr>
                <w:rStyle w:val="Hyperlink"/>
                <w:noProof/>
              </w:rPr>
              <w:t>2</w:t>
            </w:r>
            <w:r>
              <w:rPr>
                <w:rFonts w:asciiTheme="minorHAnsi" w:eastAsiaTheme="minorEastAsia" w:hAnsiTheme="minorHAnsi"/>
                <w:noProof/>
                <w:kern w:val="2"/>
                <w:sz w:val="24"/>
                <w:szCs w:val="24"/>
                <w:lang w:eastAsia="de-DE"/>
                <w14:ligatures w14:val="standardContextual"/>
              </w:rPr>
              <w:tab/>
            </w:r>
            <w:r w:rsidRPr="00F01B87">
              <w:rPr>
                <w:rStyle w:val="Hyperlink"/>
                <w:noProof/>
              </w:rPr>
              <w:t>Mantelgesetz Artikel 1 – Änderung des Bundes-Immissionsschutzgesetzes</w:t>
            </w:r>
            <w:r>
              <w:rPr>
                <w:noProof/>
                <w:webHidden/>
              </w:rPr>
              <w:tab/>
            </w:r>
            <w:r>
              <w:rPr>
                <w:noProof/>
                <w:webHidden/>
              </w:rPr>
              <w:fldChar w:fldCharType="begin"/>
            </w:r>
            <w:r>
              <w:rPr>
                <w:noProof/>
                <w:webHidden/>
              </w:rPr>
              <w:instrText xml:space="preserve"> PAGEREF _Toc187825522 \h </w:instrText>
            </w:r>
            <w:r>
              <w:rPr>
                <w:noProof/>
                <w:webHidden/>
              </w:rPr>
            </w:r>
            <w:r>
              <w:rPr>
                <w:noProof/>
                <w:webHidden/>
              </w:rPr>
              <w:fldChar w:fldCharType="separate"/>
            </w:r>
            <w:r>
              <w:rPr>
                <w:noProof/>
                <w:webHidden/>
              </w:rPr>
              <w:t>6</w:t>
            </w:r>
            <w:r>
              <w:rPr>
                <w:noProof/>
                <w:webHidden/>
              </w:rPr>
              <w:fldChar w:fldCharType="end"/>
            </w:r>
          </w:hyperlink>
        </w:p>
        <w:p w14:paraId="31246C31" w14:textId="11AB9868"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23" w:history="1">
            <w:r w:rsidRPr="00F01B87">
              <w:rPr>
                <w:rStyle w:val="Hyperlink"/>
                <w:noProof/>
              </w:rPr>
              <w:t>2.1</w:t>
            </w:r>
            <w:r>
              <w:rPr>
                <w:rFonts w:asciiTheme="minorHAnsi" w:eastAsiaTheme="minorEastAsia" w:hAnsiTheme="minorHAnsi"/>
                <w:noProof/>
                <w:kern w:val="2"/>
                <w:sz w:val="24"/>
                <w:szCs w:val="24"/>
                <w:lang w:eastAsia="de-DE"/>
                <w14:ligatures w14:val="standardContextual"/>
              </w:rPr>
              <w:tab/>
            </w:r>
            <w:r w:rsidRPr="00F01B87">
              <w:rPr>
                <w:rStyle w:val="Hyperlink"/>
                <w:noProof/>
              </w:rPr>
              <w:t>Ersetzen des Begriffs „Dekarbonisierung“ mit dem Begriff „Defossilisierung“ (§1 Abs. 2)</w:t>
            </w:r>
            <w:r>
              <w:rPr>
                <w:noProof/>
                <w:webHidden/>
              </w:rPr>
              <w:tab/>
            </w:r>
            <w:r>
              <w:rPr>
                <w:noProof/>
                <w:webHidden/>
              </w:rPr>
              <w:fldChar w:fldCharType="begin"/>
            </w:r>
            <w:r>
              <w:rPr>
                <w:noProof/>
                <w:webHidden/>
              </w:rPr>
              <w:instrText xml:space="preserve"> PAGEREF _Toc187825523 \h </w:instrText>
            </w:r>
            <w:r>
              <w:rPr>
                <w:noProof/>
                <w:webHidden/>
              </w:rPr>
            </w:r>
            <w:r>
              <w:rPr>
                <w:noProof/>
                <w:webHidden/>
              </w:rPr>
              <w:fldChar w:fldCharType="separate"/>
            </w:r>
            <w:r>
              <w:rPr>
                <w:noProof/>
                <w:webHidden/>
              </w:rPr>
              <w:t>6</w:t>
            </w:r>
            <w:r>
              <w:rPr>
                <w:noProof/>
                <w:webHidden/>
              </w:rPr>
              <w:fldChar w:fldCharType="end"/>
            </w:r>
          </w:hyperlink>
        </w:p>
        <w:p w14:paraId="5D5762EC" w14:textId="39E60612"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24" w:history="1">
            <w:r w:rsidRPr="00F01B87">
              <w:rPr>
                <w:rStyle w:val="Hyperlink"/>
                <w:noProof/>
              </w:rPr>
              <w:t>2.2</w:t>
            </w:r>
            <w:r>
              <w:rPr>
                <w:rFonts w:asciiTheme="minorHAnsi" w:eastAsiaTheme="minorEastAsia" w:hAnsiTheme="minorHAnsi"/>
                <w:noProof/>
                <w:kern w:val="2"/>
                <w:sz w:val="24"/>
                <w:szCs w:val="24"/>
                <w:lang w:eastAsia="de-DE"/>
                <w14:ligatures w14:val="standardContextual"/>
              </w:rPr>
              <w:tab/>
            </w:r>
            <w:r w:rsidRPr="00F01B87">
              <w:rPr>
                <w:rStyle w:val="Hyperlink"/>
                <w:noProof/>
              </w:rPr>
              <w:t>Streichung der Einbeziehung von Nicht-IED-Anlagen (§ 1 Abs. 2; § 5 Abs. 1; § 7 Abs. 1)</w:t>
            </w:r>
            <w:r>
              <w:rPr>
                <w:noProof/>
                <w:webHidden/>
              </w:rPr>
              <w:tab/>
            </w:r>
            <w:r>
              <w:rPr>
                <w:noProof/>
                <w:webHidden/>
              </w:rPr>
              <w:fldChar w:fldCharType="begin"/>
            </w:r>
            <w:r>
              <w:rPr>
                <w:noProof/>
                <w:webHidden/>
              </w:rPr>
              <w:instrText xml:space="preserve"> PAGEREF _Toc187825524 \h </w:instrText>
            </w:r>
            <w:r>
              <w:rPr>
                <w:noProof/>
                <w:webHidden/>
              </w:rPr>
            </w:r>
            <w:r>
              <w:rPr>
                <w:noProof/>
                <w:webHidden/>
              </w:rPr>
              <w:fldChar w:fldCharType="separate"/>
            </w:r>
            <w:r>
              <w:rPr>
                <w:noProof/>
                <w:webHidden/>
              </w:rPr>
              <w:t>6</w:t>
            </w:r>
            <w:r>
              <w:rPr>
                <w:noProof/>
                <w:webHidden/>
              </w:rPr>
              <w:fldChar w:fldCharType="end"/>
            </w:r>
          </w:hyperlink>
        </w:p>
        <w:p w14:paraId="7C7AF0BD" w14:textId="2C805E4D"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25" w:history="1">
            <w:r w:rsidRPr="00F01B87">
              <w:rPr>
                <w:rStyle w:val="Hyperlink"/>
                <w:noProof/>
              </w:rPr>
              <w:t>2.3</w:t>
            </w:r>
            <w:r>
              <w:rPr>
                <w:rFonts w:asciiTheme="minorHAnsi" w:eastAsiaTheme="minorEastAsia" w:hAnsiTheme="minorHAnsi"/>
                <w:noProof/>
                <w:kern w:val="2"/>
                <w:sz w:val="24"/>
                <w:szCs w:val="24"/>
                <w:lang w:eastAsia="de-DE"/>
                <w14:ligatures w14:val="standardContextual"/>
              </w:rPr>
              <w:tab/>
            </w:r>
            <w:r w:rsidRPr="00F01B87">
              <w:rPr>
                <w:rStyle w:val="Hyperlink"/>
                <w:noProof/>
              </w:rPr>
              <w:t>Streichung der Verknüpfung von Umweltleistungswerten und Umweltmanagementsystem (§ 3 Abs. 6b, 6h und 6i)</w:t>
            </w:r>
            <w:r>
              <w:rPr>
                <w:noProof/>
                <w:webHidden/>
              </w:rPr>
              <w:tab/>
            </w:r>
            <w:r>
              <w:rPr>
                <w:noProof/>
                <w:webHidden/>
              </w:rPr>
              <w:fldChar w:fldCharType="begin"/>
            </w:r>
            <w:r>
              <w:rPr>
                <w:noProof/>
                <w:webHidden/>
              </w:rPr>
              <w:instrText xml:space="preserve"> PAGEREF _Toc187825525 \h </w:instrText>
            </w:r>
            <w:r>
              <w:rPr>
                <w:noProof/>
                <w:webHidden/>
              </w:rPr>
            </w:r>
            <w:r>
              <w:rPr>
                <w:noProof/>
                <w:webHidden/>
              </w:rPr>
              <w:fldChar w:fldCharType="separate"/>
            </w:r>
            <w:r>
              <w:rPr>
                <w:noProof/>
                <w:webHidden/>
              </w:rPr>
              <w:t>7</w:t>
            </w:r>
            <w:r>
              <w:rPr>
                <w:noProof/>
                <w:webHidden/>
              </w:rPr>
              <w:fldChar w:fldCharType="end"/>
            </w:r>
          </w:hyperlink>
        </w:p>
        <w:p w14:paraId="13729047" w14:textId="05B072A1"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26" w:history="1">
            <w:r w:rsidRPr="00F01B87">
              <w:rPr>
                <w:rStyle w:val="Hyperlink"/>
                <w:noProof/>
              </w:rPr>
              <w:t>2.4</w:t>
            </w:r>
            <w:r>
              <w:rPr>
                <w:rFonts w:asciiTheme="minorHAnsi" w:eastAsiaTheme="minorEastAsia" w:hAnsiTheme="minorHAnsi"/>
                <w:noProof/>
                <w:kern w:val="2"/>
                <w:sz w:val="24"/>
                <w:szCs w:val="24"/>
                <w:lang w:eastAsia="de-DE"/>
                <w14:ligatures w14:val="standardContextual"/>
              </w:rPr>
              <w:tab/>
            </w:r>
            <w:r w:rsidRPr="00F01B87">
              <w:rPr>
                <w:rStyle w:val="Hyperlink"/>
                <w:noProof/>
              </w:rPr>
              <w:t>Einführung einer Definition des Begriffs „Zukunftstechnik“ (§ 3)</w:t>
            </w:r>
            <w:r>
              <w:rPr>
                <w:noProof/>
                <w:webHidden/>
              </w:rPr>
              <w:tab/>
            </w:r>
            <w:r>
              <w:rPr>
                <w:noProof/>
                <w:webHidden/>
              </w:rPr>
              <w:fldChar w:fldCharType="begin"/>
            </w:r>
            <w:r>
              <w:rPr>
                <w:noProof/>
                <w:webHidden/>
              </w:rPr>
              <w:instrText xml:space="preserve"> PAGEREF _Toc187825526 \h </w:instrText>
            </w:r>
            <w:r>
              <w:rPr>
                <w:noProof/>
                <w:webHidden/>
              </w:rPr>
            </w:r>
            <w:r>
              <w:rPr>
                <w:noProof/>
                <w:webHidden/>
              </w:rPr>
              <w:fldChar w:fldCharType="separate"/>
            </w:r>
            <w:r>
              <w:rPr>
                <w:noProof/>
                <w:webHidden/>
              </w:rPr>
              <w:t>7</w:t>
            </w:r>
            <w:r>
              <w:rPr>
                <w:noProof/>
                <w:webHidden/>
              </w:rPr>
              <w:fldChar w:fldCharType="end"/>
            </w:r>
          </w:hyperlink>
        </w:p>
        <w:p w14:paraId="2D15B2F6" w14:textId="7B585828"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27" w:history="1">
            <w:r w:rsidRPr="00F01B87">
              <w:rPr>
                <w:rStyle w:val="Hyperlink"/>
                <w:noProof/>
              </w:rPr>
              <w:t>2.5</w:t>
            </w:r>
            <w:r>
              <w:rPr>
                <w:rFonts w:asciiTheme="minorHAnsi" w:eastAsiaTheme="minorEastAsia" w:hAnsiTheme="minorHAnsi"/>
                <w:noProof/>
                <w:kern w:val="2"/>
                <w:sz w:val="24"/>
                <w:szCs w:val="24"/>
                <w:lang w:eastAsia="de-DE"/>
                <w14:ligatures w14:val="standardContextual"/>
              </w:rPr>
              <w:tab/>
            </w:r>
            <w:r w:rsidRPr="00F01B87">
              <w:rPr>
                <w:rStyle w:val="Hyperlink"/>
                <w:noProof/>
              </w:rPr>
              <w:t>Anpassung an EU-Vorgaben, sodass der Detailgrad des UMS die Anlagenspezifika einbezieht (§ 5)</w:t>
            </w:r>
            <w:r>
              <w:rPr>
                <w:noProof/>
                <w:webHidden/>
              </w:rPr>
              <w:tab/>
            </w:r>
            <w:r>
              <w:rPr>
                <w:noProof/>
                <w:webHidden/>
              </w:rPr>
              <w:fldChar w:fldCharType="begin"/>
            </w:r>
            <w:r>
              <w:rPr>
                <w:noProof/>
                <w:webHidden/>
              </w:rPr>
              <w:instrText xml:space="preserve"> PAGEREF _Toc187825527 \h </w:instrText>
            </w:r>
            <w:r>
              <w:rPr>
                <w:noProof/>
                <w:webHidden/>
              </w:rPr>
            </w:r>
            <w:r>
              <w:rPr>
                <w:noProof/>
                <w:webHidden/>
              </w:rPr>
              <w:fldChar w:fldCharType="separate"/>
            </w:r>
            <w:r>
              <w:rPr>
                <w:noProof/>
                <w:webHidden/>
              </w:rPr>
              <w:t>7</w:t>
            </w:r>
            <w:r>
              <w:rPr>
                <w:noProof/>
                <w:webHidden/>
              </w:rPr>
              <w:fldChar w:fldCharType="end"/>
            </w:r>
          </w:hyperlink>
        </w:p>
        <w:p w14:paraId="347F3F90" w14:textId="6929541A"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28" w:history="1">
            <w:r w:rsidRPr="00F01B87">
              <w:rPr>
                <w:rStyle w:val="Hyperlink"/>
                <w:noProof/>
              </w:rPr>
              <w:t>2.6</w:t>
            </w:r>
            <w:r>
              <w:rPr>
                <w:rFonts w:asciiTheme="minorHAnsi" w:eastAsiaTheme="minorEastAsia" w:hAnsiTheme="minorHAnsi"/>
                <w:noProof/>
                <w:kern w:val="2"/>
                <w:sz w:val="24"/>
                <w:szCs w:val="24"/>
                <w:lang w:eastAsia="de-DE"/>
                <w14:ligatures w14:val="standardContextual"/>
              </w:rPr>
              <w:tab/>
            </w:r>
            <w:r w:rsidRPr="00F01B87">
              <w:rPr>
                <w:rStyle w:val="Hyperlink"/>
                <w:noProof/>
              </w:rPr>
              <w:t>Ausnahmekatalog nach EU-Vorgaben durch Aufnahme des geografischen Standorts und der lokalen Umweltbedingungen vervollständigen (§ 7 Abs. 1c)</w:t>
            </w:r>
            <w:r>
              <w:rPr>
                <w:noProof/>
                <w:webHidden/>
              </w:rPr>
              <w:tab/>
            </w:r>
            <w:r>
              <w:rPr>
                <w:noProof/>
                <w:webHidden/>
              </w:rPr>
              <w:fldChar w:fldCharType="begin"/>
            </w:r>
            <w:r>
              <w:rPr>
                <w:noProof/>
                <w:webHidden/>
              </w:rPr>
              <w:instrText xml:space="preserve"> PAGEREF _Toc187825528 \h </w:instrText>
            </w:r>
            <w:r>
              <w:rPr>
                <w:noProof/>
                <w:webHidden/>
              </w:rPr>
            </w:r>
            <w:r>
              <w:rPr>
                <w:noProof/>
                <w:webHidden/>
              </w:rPr>
              <w:fldChar w:fldCharType="separate"/>
            </w:r>
            <w:r>
              <w:rPr>
                <w:noProof/>
                <w:webHidden/>
              </w:rPr>
              <w:t>8</w:t>
            </w:r>
            <w:r>
              <w:rPr>
                <w:noProof/>
                <w:webHidden/>
              </w:rPr>
              <w:fldChar w:fldCharType="end"/>
            </w:r>
          </w:hyperlink>
        </w:p>
        <w:p w14:paraId="10B659FF" w14:textId="28B5EDDA"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29" w:history="1">
            <w:r w:rsidRPr="00F01B87">
              <w:rPr>
                <w:rStyle w:val="Hyperlink"/>
                <w:noProof/>
              </w:rPr>
              <w:t>2.7</w:t>
            </w:r>
            <w:r>
              <w:rPr>
                <w:rFonts w:asciiTheme="minorHAnsi" w:eastAsiaTheme="minorEastAsia" w:hAnsiTheme="minorHAnsi"/>
                <w:noProof/>
                <w:kern w:val="2"/>
                <w:sz w:val="24"/>
                <w:szCs w:val="24"/>
                <w:lang w:eastAsia="de-DE"/>
                <w14:ligatures w14:val="standardContextual"/>
              </w:rPr>
              <w:tab/>
            </w:r>
            <w:r w:rsidRPr="00F01B87">
              <w:rPr>
                <w:rStyle w:val="Hyperlink"/>
                <w:noProof/>
              </w:rPr>
              <w:t>Anpassung an EU-Vorgaben, dass Ausnahmeverfahren nicht für Festlegung von Grenzwerten innerhalb europäischer Bandbreiten gelten (§ 7 Abs. 1d)</w:t>
            </w:r>
            <w:r>
              <w:rPr>
                <w:noProof/>
                <w:webHidden/>
              </w:rPr>
              <w:tab/>
            </w:r>
            <w:r>
              <w:rPr>
                <w:noProof/>
                <w:webHidden/>
              </w:rPr>
              <w:fldChar w:fldCharType="begin"/>
            </w:r>
            <w:r>
              <w:rPr>
                <w:noProof/>
                <w:webHidden/>
              </w:rPr>
              <w:instrText xml:space="preserve"> PAGEREF _Toc187825529 \h </w:instrText>
            </w:r>
            <w:r>
              <w:rPr>
                <w:noProof/>
                <w:webHidden/>
              </w:rPr>
            </w:r>
            <w:r>
              <w:rPr>
                <w:noProof/>
                <w:webHidden/>
              </w:rPr>
              <w:fldChar w:fldCharType="separate"/>
            </w:r>
            <w:r>
              <w:rPr>
                <w:noProof/>
                <w:webHidden/>
              </w:rPr>
              <w:t>8</w:t>
            </w:r>
            <w:r>
              <w:rPr>
                <w:noProof/>
                <w:webHidden/>
              </w:rPr>
              <w:fldChar w:fldCharType="end"/>
            </w:r>
          </w:hyperlink>
        </w:p>
        <w:p w14:paraId="3EA74794" w14:textId="22510709"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30" w:history="1">
            <w:r w:rsidRPr="00F01B87">
              <w:rPr>
                <w:rStyle w:val="Hyperlink"/>
                <w:noProof/>
              </w:rPr>
              <w:t>2.8</w:t>
            </w:r>
            <w:r>
              <w:rPr>
                <w:rFonts w:asciiTheme="minorHAnsi" w:eastAsiaTheme="minorEastAsia" w:hAnsiTheme="minorHAnsi"/>
                <w:noProof/>
                <w:kern w:val="2"/>
                <w:sz w:val="24"/>
                <w:szCs w:val="24"/>
                <w:lang w:eastAsia="de-DE"/>
                <w14:ligatures w14:val="standardContextual"/>
              </w:rPr>
              <w:tab/>
            </w:r>
            <w:r w:rsidRPr="00F01B87">
              <w:rPr>
                <w:rStyle w:val="Hyperlink"/>
                <w:noProof/>
              </w:rPr>
              <w:t>„Soll“-Regelung anstelle von „Kann“-Regelungen (§ 7)</w:t>
            </w:r>
            <w:r>
              <w:rPr>
                <w:noProof/>
                <w:webHidden/>
              </w:rPr>
              <w:tab/>
            </w:r>
            <w:r>
              <w:rPr>
                <w:noProof/>
                <w:webHidden/>
              </w:rPr>
              <w:fldChar w:fldCharType="begin"/>
            </w:r>
            <w:r>
              <w:rPr>
                <w:noProof/>
                <w:webHidden/>
              </w:rPr>
              <w:instrText xml:space="preserve"> PAGEREF _Toc187825530 \h </w:instrText>
            </w:r>
            <w:r>
              <w:rPr>
                <w:noProof/>
                <w:webHidden/>
              </w:rPr>
            </w:r>
            <w:r>
              <w:rPr>
                <w:noProof/>
                <w:webHidden/>
              </w:rPr>
              <w:fldChar w:fldCharType="separate"/>
            </w:r>
            <w:r>
              <w:rPr>
                <w:noProof/>
                <w:webHidden/>
              </w:rPr>
              <w:t>8</w:t>
            </w:r>
            <w:r>
              <w:rPr>
                <w:noProof/>
                <w:webHidden/>
              </w:rPr>
              <w:fldChar w:fldCharType="end"/>
            </w:r>
          </w:hyperlink>
        </w:p>
        <w:p w14:paraId="3271DE98" w14:textId="32DA405C"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31" w:history="1">
            <w:r w:rsidRPr="00F01B87">
              <w:rPr>
                <w:rStyle w:val="Hyperlink"/>
                <w:noProof/>
              </w:rPr>
              <w:t>2.9</w:t>
            </w:r>
            <w:r>
              <w:rPr>
                <w:rFonts w:asciiTheme="minorHAnsi" w:eastAsiaTheme="minorEastAsia" w:hAnsiTheme="minorHAnsi"/>
                <w:noProof/>
                <w:kern w:val="2"/>
                <w:sz w:val="24"/>
                <w:szCs w:val="24"/>
                <w:lang w:eastAsia="de-DE"/>
                <w14:ligatures w14:val="standardContextual"/>
              </w:rPr>
              <w:tab/>
            </w:r>
            <w:r w:rsidRPr="00F01B87">
              <w:rPr>
                <w:rStyle w:val="Hyperlink"/>
                <w:noProof/>
              </w:rPr>
              <w:t>Anpassung an EU-Vorgaben, sodass konsolidierte Fassungen von Nebenbestimmungen nicht der Regelfall werden (§ 10 Abs. 8 a)</w:t>
            </w:r>
            <w:r>
              <w:rPr>
                <w:noProof/>
                <w:webHidden/>
              </w:rPr>
              <w:tab/>
            </w:r>
            <w:r>
              <w:rPr>
                <w:noProof/>
                <w:webHidden/>
              </w:rPr>
              <w:fldChar w:fldCharType="begin"/>
            </w:r>
            <w:r>
              <w:rPr>
                <w:noProof/>
                <w:webHidden/>
              </w:rPr>
              <w:instrText xml:space="preserve"> PAGEREF _Toc187825531 \h </w:instrText>
            </w:r>
            <w:r>
              <w:rPr>
                <w:noProof/>
                <w:webHidden/>
              </w:rPr>
            </w:r>
            <w:r>
              <w:rPr>
                <w:noProof/>
                <w:webHidden/>
              </w:rPr>
              <w:fldChar w:fldCharType="separate"/>
            </w:r>
            <w:r>
              <w:rPr>
                <w:noProof/>
                <w:webHidden/>
              </w:rPr>
              <w:t>9</w:t>
            </w:r>
            <w:r>
              <w:rPr>
                <w:noProof/>
                <w:webHidden/>
              </w:rPr>
              <w:fldChar w:fldCharType="end"/>
            </w:r>
          </w:hyperlink>
        </w:p>
        <w:p w14:paraId="5575414A" w14:textId="75E327FE" w:rsidR="003D375E" w:rsidRDefault="003D375E">
          <w:pPr>
            <w:pStyle w:val="Verzeichnis2"/>
            <w:tabs>
              <w:tab w:val="left" w:pos="1200"/>
              <w:tab w:val="right" w:leader="dot" w:pos="8354"/>
            </w:tabs>
            <w:rPr>
              <w:rFonts w:asciiTheme="minorHAnsi" w:eastAsiaTheme="minorEastAsia" w:hAnsiTheme="minorHAnsi"/>
              <w:noProof/>
              <w:kern w:val="2"/>
              <w:sz w:val="24"/>
              <w:szCs w:val="24"/>
              <w:lang w:eastAsia="de-DE"/>
              <w14:ligatures w14:val="standardContextual"/>
            </w:rPr>
          </w:pPr>
          <w:hyperlink w:anchor="_Toc187825532" w:history="1">
            <w:r w:rsidRPr="00F01B87">
              <w:rPr>
                <w:rStyle w:val="Hyperlink"/>
                <w:noProof/>
              </w:rPr>
              <w:t>2.10</w:t>
            </w:r>
            <w:r>
              <w:rPr>
                <w:rFonts w:asciiTheme="minorHAnsi" w:eastAsiaTheme="minorEastAsia" w:hAnsiTheme="minorHAnsi"/>
                <w:noProof/>
                <w:kern w:val="2"/>
                <w:sz w:val="24"/>
                <w:szCs w:val="24"/>
                <w:lang w:eastAsia="de-DE"/>
                <w14:ligatures w14:val="standardContextual"/>
              </w:rPr>
              <w:tab/>
            </w:r>
            <w:r w:rsidRPr="00F01B87">
              <w:rPr>
                <w:rStyle w:val="Hyperlink"/>
                <w:noProof/>
              </w:rPr>
              <w:t>Anpassung an EU-Vorgaben, sodass keine unmittelbare Anwendung der Anforderungen auf bestehende Anlagen resultiert (§ 12 Abs. 1a)</w:t>
            </w:r>
            <w:r>
              <w:rPr>
                <w:noProof/>
                <w:webHidden/>
              </w:rPr>
              <w:tab/>
            </w:r>
            <w:r>
              <w:rPr>
                <w:noProof/>
                <w:webHidden/>
              </w:rPr>
              <w:fldChar w:fldCharType="begin"/>
            </w:r>
            <w:r>
              <w:rPr>
                <w:noProof/>
                <w:webHidden/>
              </w:rPr>
              <w:instrText xml:space="preserve"> PAGEREF _Toc187825532 \h </w:instrText>
            </w:r>
            <w:r>
              <w:rPr>
                <w:noProof/>
                <w:webHidden/>
              </w:rPr>
            </w:r>
            <w:r>
              <w:rPr>
                <w:noProof/>
                <w:webHidden/>
              </w:rPr>
              <w:fldChar w:fldCharType="separate"/>
            </w:r>
            <w:r>
              <w:rPr>
                <w:noProof/>
                <w:webHidden/>
              </w:rPr>
              <w:t>9</w:t>
            </w:r>
            <w:r>
              <w:rPr>
                <w:noProof/>
                <w:webHidden/>
              </w:rPr>
              <w:fldChar w:fldCharType="end"/>
            </w:r>
          </w:hyperlink>
        </w:p>
        <w:p w14:paraId="0E568615" w14:textId="78424A72" w:rsidR="003D375E" w:rsidRDefault="003D375E">
          <w:pPr>
            <w:pStyle w:val="Verzeichnis2"/>
            <w:tabs>
              <w:tab w:val="left" w:pos="1200"/>
              <w:tab w:val="right" w:leader="dot" w:pos="8354"/>
            </w:tabs>
            <w:rPr>
              <w:rFonts w:asciiTheme="minorHAnsi" w:eastAsiaTheme="minorEastAsia" w:hAnsiTheme="minorHAnsi"/>
              <w:noProof/>
              <w:kern w:val="2"/>
              <w:sz w:val="24"/>
              <w:szCs w:val="24"/>
              <w:lang w:eastAsia="de-DE"/>
              <w14:ligatures w14:val="standardContextual"/>
            </w:rPr>
          </w:pPr>
          <w:hyperlink w:anchor="_Toc187825533" w:history="1">
            <w:r w:rsidRPr="00F01B87">
              <w:rPr>
                <w:rStyle w:val="Hyperlink"/>
                <w:noProof/>
              </w:rPr>
              <w:t>2.11</w:t>
            </w:r>
            <w:r>
              <w:rPr>
                <w:rFonts w:asciiTheme="minorHAnsi" w:eastAsiaTheme="minorEastAsia" w:hAnsiTheme="minorHAnsi"/>
                <w:noProof/>
                <w:kern w:val="2"/>
                <w:sz w:val="24"/>
                <w:szCs w:val="24"/>
                <w:lang w:eastAsia="de-DE"/>
                <w14:ligatures w14:val="standardContextual"/>
              </w:rPr>
              <w:tab/>
            </w:r>
            <w:r w:rsidRPr="00F01B87">
              <w:rPr>
                <w:rStyle w:val="Hyperlink"/>
                <w:noProof/>
              </w:rPr>
              <w:t>Ergänzung, dass ein Schadensersatzanspruch nur durch schuldhafte Verstöße begründet ist (§ 14a)</w:t>
            </w:r>
            <w:r>
              <w:rPr>
                <w:noProof/>
                <w:webHidden/>
              </w:rPr>
              <w:tab/>
            </w:r>
            <w:r>
              <w:rPr>
                <w:noProof/>
                <w:webHidden/>
              </w:rPr>
              <w:fldChar w:fldCharType="begin"/>
            </w:r>
            <w:r>
              <w:rPr>
                <w:noProof/>
                <w:webHidden/>
              </w:rPr>
              <w:instrText xml:space="preserve"> PAGEREF _Toc187825533 \h </w:instrText>
            </w:r>
            <w:r>
              <w:rPr>
                <w:noProof/>
                <w:webHidden/>
              </w:rPr>
            </w:r>
            <w:r>
              <w:rPr>
                <w:noProof/>
                <w:webHidden/>
              </w:rPr>
              <w:fldChar w:fldCharType="separate"/>
            </w:r>
            <w:r>
              <w:rPr>
                <w:noProof/>
                <w:webHidden/>
              </w:rPr>
              <w:t>10</w:t>
            </w:r>
            <w:r>
              <w:rPr>
                <w:noProof/>
                <w:webHidden/>
              </w:rPr>
              <w:fldChar w:fldCharType="end"/>
            </w:r>
          </w:hyperlink>
        </w:p>
        <w:p w14:paraId="28629112" w14:textId="67FF99CA" w:rsidR="003D375E" w:rsidRDefault="003D375E">
          <w:pPr>
            <w:pStyle w:val="Verzeichnis2"/>
            <w:tabs>
              <w:tab w:val="left" w:pos="1200"/>
              <w:tab w:val="right" w:leader="dot" w:pos="8354"/>
            </w:tabs>
            <w:rPr>
              <w:rFonts w:asciiTheme="minorHAnsi" w:eastAsiaTheme="minorEastAsia" w:hAnsiTheme="minorHAnsi"/>
              <w:noProof/>
              <w:kern w:val="2"/>
              <w:sz w:val="24"/>
              <w:szCs w:val="24"/>
              <w:lang w:eastAsia="de-DE"/>
              <w14:ligatures w14:val="standardContextual"/>
            </w:rPr>
          </w:pPr>
          <w:hyperlink w:anchor="_Toc187825534" w:history="1">
            <w:r w:rsidRPr="00F01B87">
              <w:rPr>
                <w:rStyle w:val="Hyperlink"/>
                <w:noProof/>
              </w:rPr>
              <w:t>2.12</w:t>
            </w:r>
            <w:r>
              <w:rPr>
                <w:rFonts w:asciiTheme="minorHAnsi" w:eastAsiaTheme="minorEastAsia" w:hAnsiTheme="minorHAnsi"/>
                <w:noProof/>
                <w:kern w:val="2"/>
                <w:sz w:val="24"/>
                <w:szCs w:val="24"/>
                <w:lang w:eastAsia="de-DE"/>
                <w14:ligatures w14:val="standardContextual"/>
              </w:rPr>
              <w:tab/>
            </w:r>
            <w:r w:rsidRPr="00F01B87">
              <w:rPr>
                <w:rStyle w:val="Hyperlink"/>
                <w:noProof/>
              </w:rPr>
              <w:t>Erweiterung der Ausnahmeregelungen für Gasmangellagen (zusätzlich zu § 31a und § 32a)</w:t>
            </w:r>
            <w:r>
              <w:rPr>
                <w:noProof/>
                <w:webHidden/>
              </w:rPr>
              <w:tab/>
            </w:r>
            <w:r>
              <w:rPr>
                <w:noProof/>
                <w:webHidden/>
              </w:rPr>
              <w:fldChar w:fldCharType="begin"/>
            </w:r>
            <w:r>
              <w:rPr>
                <w:noProof/>
                <w:webHidden/>
              </w:rPr>
              <w:instrText xml:space="preserve"> PAGEREF _Toc187825534 \h </w:instrText>
            </w:r>
            <w:r>
              <w:rPr>
                <w:noProof/>
                <w:webHidden/>
              </w:rPr>
            </w:r>
            <w:r>
              <w:rPr>
                <w:noProof/>
                <w:webHidden/>
              </w:rPr>
              <w:fldChar w:fldCharType="separate"/>
            </w:r>
            <w:r>
              <w:rPr>
                <w:noProof/>
                <w:webHidden/>
              </w:rPr>
              <w:t>10</w:t>
            </w:r>
            <w:r>
              <w:rPr>
                <w:noProof/>
                <w:webHidden/>
              </w:rPr>
              <w:fldChar w:fldCharType="end"/>
            </w:r>
          </w:hyperlink>
        </w:p>
        <w:p w14:paraId="68643747" w14:textId="68FDFD61" w:rsidR="003D375E" w:rsidRDefault="003D375E">
          <w:pPr>
            <w:pStyle w:val="Verzeichnis1"/>
            <w:tabs>
              <w:tab w:val="left" w:pos="440"/>
              <w:tab w:val="right" w:leader="dot" w:pos="8354"/>
            </w:tabs>
            <w:rPr>
              <w:rFonts w:asciiTheme="minorHAnsi" w:eastAsiaTheme="minorEastAsia" w:hAnsiTheme="minorHAnsi"/>
              <w:noProof/>
              <w:kern w:val="2"/>
              <w:sz w:val="24"/>
              <w:szCs w:val="24"/>
              <w:lang w:eastAsia="de-DE"/>
              <w14:ligatures w14:val="standardContextual"/>
            </w:rPr>
          </w:pPr>
          <w:hyperlink w:anchor="_Toc187825535" w:history="1">
            <w:r w:rsidRPr="00F01B87">
              <w:rPr>
                <w:rStyle w:val="Hyperlink"/>
                <w:noProof/>
              </w:rPr>
              <w:t>3</w:t>
            </w:r>
            <w:r>
              <w:rPr>
                <w:rFonts w:asciiTheme="minorHAnsi" w:eastAsiaTheme="minorEastAsia" w:hAnsiTheme="minorHAnsi"/>
                <w:noProof/>
                <w:kern w:val="2"/>
                <w:sz w:val="24"/>
                <w:szCs w:val="24"/>
                <w:lang w:eastAsia="de-DE"/>
                <w14:ligatures w14:val="standardContextual"/>
              </w:rPr>
              <w:tab/>
            </w:r>
            <w:r w:rsidRPr="00F01B87">
              <w:rPr>
                <w:rStyle w:val="Hyperlink"/>
                <w:noProof/>
              </w:rPr>
              <w:t>Mantelverordnung</w:t>
            </w:r>
            <w:r>
              <w:rPr>
                <w:noProof/>
                <w:webHidden/>
              </w:rPr>
              <w:tab/>
            </w:r>
            <w:r>
              <w:rPr>
                <w:noProof/>
                <w:webHidden/>
              </w:rPr>
              <w:fldChar w:fldCharType="begin"/>
            </w:r>
            <w:r>
              <w:rPr>
                <w:noProof/>
                <w:webHidden/>
              </w:rPr>
              <w:instrText xml:space="preserve"> PAGEREF _Toc187825535 \h </w:instrText>
            </w:r>
            <w:r>
              <w:rPr>
                <w:noProof/>
                <w:webHidden/>
              </w:rPr>
            </w:r>
            <w:r>
              <w:rPr>
                <w:noProof/>
                <w:webHidden/>
              </w:rPr>
              <w:fldChar w:fldCharType="separate"/>
            </w:r>
            <w:r>
              <w:rPr>
                <w:noProof/>
                <w:webHidden/>
              </w:rPr>
              <w:t>11</w:t>
            </w:r>
            <w:r>
              <w:rPr>
                <w:noProof/>
                <w:webHidden/>
              </w:rPr>
              <w:fldChar w:fldCharType="end"/>
            </w:r>
          </w:hyperlink>
        </w:p>
        <w:p w14:paraId="67A99387" w14:textId="4566355C"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36" w:history="1">
            <w:r w:rsidRPr="00F01B87">
              <w:rPr>
                <w:rStyle w:val="Hyperlink"/>
                <w:noProof/>
              </w:rPr>
              <w:t>3.1</w:t>
            </w:r>
            <w:r>
              <w:rPr>
                <w:rFonts w:asciiTheme="minorHAnsi" w:eastAsiaTheme="minorEastAsia" w:hAnsiTheme="minorHAnsi"/>
                <w:noProof/>
                <w:kern w:val="2"/>
                <w:sz w:val="24"/>
                <w:szCs w:val="24"/>
                <w:lang w:eastAsia="de-DE"/>
                <w14:ligatures w14:val="standardContextual"/>
              </w:rPr>
              <w:tab/>
            </w:r>
            <w:r w:rsidRPr="00F01B87">
              <w:rPr>
                <w:rStyle w:val="Hyperlink"/>
                <w:noProof/>
              </w:rPr>
              <w:t>Streichung 11. BImSchV</w:t>
            </w:r>
            <w:r>
              <w:rPr>
                <w:noProof/>
                <w:webHidden/>
              </w:rPr>
              <w:tab/>
            </w:r>
            <w:r>
              <w:rPr>
                <w:noProof/>
                <w:webHidden/>
              </w:rPr>
              <w:fldChar w:fldCharType="begin"/>
            </w:r>
            <w:r>
              <w:rPr>
                <w:noProof/>
                <w:webHidden/>
              </w:rPr>
              <w:instrText xml:space="preserve"> PAGEREF _Toc187825536 \h </w:instrText>
            </w:r>
            <w:r>
              <w:rPr>
                <w:noProof/>
                <w:webHidden/>
              </w:rPr>
            </w:r>
            <w:r>
              <w:rPr>
                <w:noProof/>
                <w:webHidden/>
              </w:rPr>
              <w:fldChar w:fldCharType="separate"/>
            </w:r>
            <w:r>
              <w:rPr>
                <w:noProof/>
                <w:webHidden/>
              </w:rPr>
              <w:t>11</w:t>
            </w:r>
            <w:r>
              <w:rPr>
                <w:noProof/>
                <w:webHidden/>
              </w:rPr>
              <w:fldChar w:fldCharType="end"/>
            </w:r>
          </w:hyperlink>
        </w:p>
        <w:p w14:paraId="6F8DA218" w14:textId="1AAF9AD9"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37" w:history="1">
            <w:r w:rsidRPr="00F01B87">
              <w:rPr>
                <w:rStyle w:val="Hyperlink"/>
                <w:noProof/>
              </w:rPr>
              <w:t>3.2</w:t>
            </w:r>
            <w:r>
              <w:rPr>
                <w:rFonts w:asciiTheme="minorHAnsi" w:eastAsiaTheme="minorEastAsia" w:hAnsiTheme="minorHAnsi"/>
                <w:noProof/>
                <w:kern w:val="2"/>
                <w:sz w:val="24"/>
                <w:szCs w:val="24"/>
                <w:lang w:eastAsia="de-DE"/>
                <w14:ligatures w14:val="standardContextual"/>
              </w:rPr>
              <w:tab/>
            </w:r>
            <w:r w:rsidRPr="00F01B87">
              <w:rPr>
                <w:rStyle w:val="Hyperlink"/>
                <w:noProof/>
              </w:rPr>
              <w:t>Emissionsminderung im An- und Abfahrbetrieb (§ 20 a Abs. 4 der 17. BImSchV)</w:t>
            </w:r>
            <w:r>
              <w:rPr>
                <w:noProof/>
                <w:webHidden/>
              </w:rPr>
              <w:tab/>
            </w:r>
            <w:r>
              <w:rPr>
                <w:noProof/>
                <w:webHidden/>
              </w:rPr>
              <w:fldChar w:fldCharType="begin"/>
            </w:r>
            <w:r>
              <w:rPr>
                <w:noProof/>
                <w:webHidden/>
              </w:rPr>
              <w:instrText xml:space="preserve"> PAGEREF _Toc187825537 \h </w:instrText>
            </w:r>
            <w:r>
              <w:rPr>
                <w:noProof/>
                <w:webHidden/>
              </w:rPr>
            </w:r>
            <w:r>
              <w:rPr>
                <w:noProof/>
                <w:webHidden/>
              </w:rPr>
              <w:fldChar w:fldCharType="separate"/>
            </w:r>
            <w:r>
              <w:rPr>
                <w:noProof/>
                <w:webHidden/>
              </w:rPr>
              <w:t>11</w:t>
            </w:r>
            <w:r>
              <w:rPr>
                <w:noProof/>
                <w:webHidden/>
              </w:rPr>
              <w:fldChar w:fldCharType="end"/>
            </w:r>
          </w:hyperlink>
        </w:p>
        <w:p w14:paraId="27905CD2" w14:textId="3A46DA2D"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38" w:history="1">
            <w:r w:rsidRPr="00F01B87">
              <w:rPr>
                <w:rStyle w:val="Hyperlink"/>
                <w:noProof/>
              </w:rPr>
              <w:t>3.3</w:t>
            </w:r>
            <w:r>
              <w:rPr>
                <w:rFonts w:asciiTheme="minorHAnsi" w:eastAsiaTheme="minorEastAsia" w:hAnsiTheme="minorHAnsi"/>
                <w:noProof/>
                <w:kern w:val="2"/>
                <w:sz w:val="24"/>
                <w:szCs w:val="24"/>
                <w:lang w:eastAsia="de-DE"/>
                <w14:ligatures w14:val="standardContextual"/>
              </w:rPr>
              <w:tab/>
            </w:r>
            <w:r w:rsidRPr="00F01B87">
              <w:rPr>
                <w:rStyle w:val="Hyperlink"/>
                <w:noProof/>
              </w:rPr>
              <w:t>Ermöglichung der Nutzung der etablierten UMS-Systeme durch Streichen der Verknüpfung der zusätzlichen Anforderungen (§ 2 Abs. 2 der 45. BImSchV)</w:t>
            </w:r>
            <w:r>
              <w:rPr>
                <w:noProof/>
                <w:webHidden/>
              </w:rPr>
              <w:tab/>
            </w:r>
            <w:r>
              <w:rPr>
                <w:noProof/>
                <w:webHidden/>
              </w:rPr>
              <w:fldChar w:fldCharType="begin"/>
            </w:r>
            <w:r>
              <w:rPr>
                <w:noProof/>
                <w:webHidden/>
              </w:rPr>
              <w:instrText xml:space="preserve"> PAGEREF _Toc187825538 \h </w:instrText>
            </w:r>
            <w:r>
              <w:rPr>
                <w:noProof/>
                <w:webHidden/>
              </w:rPr>
            </w:r>
            <w:r>
              <w:rPr>
                <w:noProof/>
                <w:webHidden/>
              </w:rPr>
              <w:fldChar w:fldCharType="separate"/>
            </w:r>
            <w:r>
              <w:rPr>
                <w:noProof/>
                <w:webHidden/>
              </w:rPr>
              <w:t>12</w:t>
            </w:r>
            <w:r>
              <w:rPr>
                <w:noProof/>
                <w:webHidden/>
              </w:rPr>
              <w:fldChar w:fldCharType="end"/>
            </w:r>
          </w:hyperlink>
        </w:p>
        <w:p w14:paraId="68459F8E" w14:textId="3939DAD7"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39" w:history="1">
            <w:r w:rsidRPr="00F01B87">
              <w:rPr>
                <w:rStyle w:val="Hyperlink"/>
                <w:noProof/>
              </w:rPr>
              <w:t>3.4</w:t>
            </w:r>
            <w:r>
              <w:rPr>
                <w:rFonts w:asciiTheme="minorHAnsi" w:eastAsiaTheme="minorEastAsia" w:hAnsiTheme="minorHAnsi"/>
                <w:noProof/>
                <w:kern w:val="2"/>
                <w:sz w:val="24"/>
                <w:szCs w:val="24"/>
                <w:lang w:eastAsia="de-DE"/>
                <w14:ligatures w14:val="standardContextual"/>
              </w:rPr>
              <w:tab/>
            </w:r>
            <w:r w:rsidRPr="00F01B87">
              <w:rPr>
                <w:rStyle w:val="Hyperlink"/>
                <w:noProof/>
              </w:rPr>
              <w:t>Anpassung des zeitlichen Horizonts des Transformationsplans gemäß EU-Vorgaben (§ 4 Abs. 1 der 45. BImSchV)</w:t>
            </w:r>
            <w:r>
              <w:rPr>
                <w:noProof/>
                <w:webHidden/>
              </w:rPr>
              <w:tab/>
            </w:r>
            <w:r>
              <w:rPr>
                <w:noProof/>
                <w:webHidden/>
              </w:rPr>
              <w:fldChar w:fldCharType="begin"/>
            </w:r>
            <w:r>
              <w:rPr>
                <w:noProof/>
                <w:webHidden/>
              </w:rPr>
              <w:instrText xml:space="preserve"> PAGEREF _Toc187825539 \h </w:instrText>
            </w:r>
            <w:r>
              <w:rPr>
                <w:noProof/>
                <w:webHidden/>
              </w:rPr>
            </w:r>
            <w:r>
              <w:rPr>
                <w:noProof/>
                <w:webHidden/>
              </w:rPr>
              <w:fldChar w:fldCharType="separate"/>
            </w:r>
            <w:r>
              <w:rPr>
                <w:noProof/>
                <w:webHidden/>
              </w:rPr>
              <w:t>12</w:t>
            </w:r>
            <w:r>
              <w:rPr>
                <w:noProof/>
                <w:webHidden/>
              </w:rPr>
              <w:fldChar w:fldCharType="end"/>
            </w:r>
          </w:hyperlink>
        </w:p>
        <w:p w14:paraId="5206FE6D" w14:textId="6161D24F"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40" w:history="1">
            <w:r w:rsidRPr="00F01B87">
              <w:rPr>
                <w:rStyle w:val="Hyperlink"/>
                <w:noProof/>
              </w:rPr>
              <w:t>3.5</w:t>
            </w:r>
            <w:r>
              <w:rPr>
                <w:rFonts w:asciiTheme="minorHAnsi" w:eastAsiaTheme="minorEastAsia" w:hAnsiTheme="minorHAnsi"/>
                <w:noProof/>
                <w:kern w:val="2"/>
                <w:sz w:val="24"/>
                <w:szCs w:val="24"/>
                <w:lang w:eastAsia="de-DE"/>
                <w14:ligatures w14:val="standardContextual"/>
              </w:rPr>
              <w:tab/>
            </w:r>
            <w:r w:rsidRPr="00F01B87">
              <w:rPr>
                <w:rStyle w:val="Hyperlink"/>
                <w:noProof/>
              </w:rPr>
              <w:t>Anpassung der Regelungen zur Veröffentlichung des UMS gemäß EU-Vorgaben (§ 5 der 45. BImSchV)</w:t>
            </w:r>
            <w:r>
              <w:rPr>
                <w:noProof/>
                <w:webHidden/>
              </w:rPr>
              <w:tab/>
            </w:r>
            <w:r>
              <w:rPr>
                <w:noProof/>
                <w:webHidden/>
              </w:rPr>
              <w:fldChar w:fldCharType="begin"/>
            </w:r>
            <w:r>
              <w:rPr>
                <w:noProof/>
                <w:webHidden/>
              </w:rPr>
              <w:instrText xml:space="preserve"> PAGEREF _Toc187825540 \h </w:instrText>
            </w:r>
            <w:r>
              <w:rPr>
                <w:noProof/>
                <w:webHidden/>
              </w:rPr>
            </w:r>
            <w:r>
              <w:rPr>
                <w:noProof/>
                <w:webHidden/>
              </w:rPr>
              <w:fldChar w:fldCharType="separate"/>
            </w:r>
            <w:r>
              <w:rPr>
                <w:noProof/>
                <w:webHidden/>
              </w:rPr>
              <w:t>13</w:t>
            </w:r>
            <w:r>
              <w:rPr>
                <w:noProof/>
                <w:webHidden/>
              </w:rPr>
              <w:fldChar w:fldCharType="end"/>
            </w:r>
          </w:hyperlink>
        </w:p>
        <w:p w14:paraId="715B6E64" w14:textId="19F4C5B7"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41" w:history="1">
            <w:r w:rsidRPr="00F01B87">
              <w:rPr>
                <w:rStyle w:val="Hyperlink"/>
                <w:noProof/>
              </w:rPr>
              <w:t>3.6</w:t>
            </w:r>
            <w:r>
              <w:rPr>
                <w:rFonts w:asciiTheme="minorHAnsi" w:eastAsiaTheme="minorEastAsia" w:hAnsiTheme="minorHAnsi"/>
                <w:noProof/>
                <w:kern w:val="2"/>
                <w:sz w:val="24"/>
                <w:szCs w:val="24"/>
                <w:lang w:eastAsia="de-DE"/>
                <w14:ligatures w14:val="standardContextual"/>
              </w:rPr>
              <w:tab/>
            </w:r>
            <w:r w:rsidRPr="00F01B87">
              <w:rPr>
                <w:rStyle w:val="Hyperlink"/>
                <w:noProof/>
              </w:rPr>
              <w:t>Anpassung der Messverpflichtung und Datenerhebung indikativer Werte an EU-Vorgaben (§ 6 der 45. BImSchV)</w:t>
            </w:r>
            <w:r>
              <w:rPr>
                <w:noProof/>
                <w:webHidden/>
              </w:rPr>
              <w:tab/>
            </w:r>
            <w:r>
              <w:rPr>
                <w:noProof/>
                <w:webHidden/>
              </w:rPr>
              <w:fldChar w:fldCharType="begin"/>
            </w:r>
            <w:r>
              <w:rPr>
                <w:noProof/>
                <w:webHidden/>
              </w:rPr>
              <w:instrText xml:space="preserve"> PAGEREF _Toc187825541 \h </w:instrText>
            </w:r>
            <w:r>
              <w:rPr>
                <w:noProof/>
                <w:webHidden/>
              </w:rPr>
            </w:r>
            <w:r>
              <w:rPr>
                <w:noProof/>
                <w:webHidden/>
              </w:rPr>
              <w:fldChar w:fldCharType="separate"/>
            </w:r>
            <w:r>
              <w:rPr>
                <w:noProof/>
                <w:webHidden/>
              </w:rPr>
              <w:t>13</w:t>
            </w:r>
            <w:r>
              <w:rPr>
                <w:noProof/>
                <w:webHidden/>
              </w:rPr>
              <w:fldChar w:fldCharType="end"/>
            </w:r>
          </w:hyperlink>
        </w:p>
        <w:p w14:paraId="5BA6E784" w14:textId="07746095"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42" w:history="1">
            <w:r w:rsidRPr="00F01B87">
              <w:rPr>
                <w:rStyle w:val="Hyperlink"/>
                <w:noProof/>
              </w:rPr>
              <w:t>3.7</w:t>
            </w:r>
            <w:r>
              <w:rPr>
                <w:rFonts w:asciiTheme="minorHAnsi" w:eastAsiaTheme="minorEastAsia" w:hAnsiTheme="minorHAnsi"/>
                <w:noProof/>
                <w:kern w:val="2"/>
                <w:sz w:val="24"/>
                <w:szCs w:val="24"/>
                <w:lang w:eastAsia="de-DE"/>
                <w14:ligatures w14:val="standardContextual"/>
              </w:rPr>
              <w:tab/>
            </w:r>
            <w:r w:rsidRPr="00F01B87">
              <w:rPr>
                <w:rStyle w:val="Hyperlink"/>
                <w:noProof/>
              </w:rPr>
              <w:t>Verzicht auf unverzügliche Bereitstellung der Nachweise (§ 7 der 45. BImSchV)</w:t>
            </w:r>
            <w:r>
              <w:rPr>
                <w:noProof/>
                <w:webHidden/>
              </w:rPr>
              <w:tab/>
            </w:r>
            <w:r>
              <w:rPr>
                <w:noProof/>
                <w:webHidden/>
              </w:rPr>
              <w:fldChar w:fldCharType="begin"/>
            </w:r>
            <w:r>
              <w:rPr>
                <w:noProof/>
                <w:webHidden/>
              </w:rPr>
              <w:instrText xml:space="preserve"> PAGEREF _Toc187825542 \h </w:instrText>
            </w:r>
            <w:r>
              <w:rPr>
                <w:noProof/>
                <w:webHidden/>
              </w:rPr>
            </w:r>
            <w:r>
              <w:rPr>
                <w:noProof/>
                <w:webHidden/>
              </w:rPr>
              <w:fldChar w:fldCharType="separate"/>
            </w:r>
            <w:r>
              <w:rPr>
                <w:noProof/>
                <w:webHidden/>
              </w:rPr>
              <w:t>13</w:t>
            </w:r>
            <w:r>
              <w:rPr>
                <w:noProof/>
                <w:webHidden/>
              </w:rPr>
              <w:fldChar w:fldCharType="end"/>
            </w:r>
          </w:hyperlink>
        </w:p>
        <w:p w14:paraId="2D0C9017" w14:textId="2F91F524"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43" w:history="1">
            <w:r w:rsidRPr="00F01B87">
              <w:rPr>
                <w:rStyle w:val="Hyperlink"/>
                <w:noProof/>
              </w:rPr>
              <w:t>3.8</w:t>
            </w:r>
            <w:r>
              <w:rPr>
                <w:rFonts w:asciiTheme="minorHAnsi" w:eastAsiaTheme="minorEastAsia" w:hAnsiTheme="minorHAnsi"/>
                <w:noProof/>
                <w:kern w:val="2"/>
                <w:sz w:val="24"/>
                <w:szCs w:val="24"/>
                <w:lang w:eastAsia="de-DE"/>
                <w14:ligatures w14:val="standardContextual"/>
              </w:rPr>
              <w:tab/>
            </w:r>
            <w:r w:rsidRPr="00F01B87">
              <w:rPr>
                <w:rStyle w:val="Hyperlink"/>
                <w:noProof/>
              </w:rPr>
              <w:t>Streichung der expliziten BVT-Anforderungen (Anlage 1 zu § 3 Abs. 3 der 45. BImSchV)</w:t>
            </w:r>
            <w:r>
              <w:rPr>
                <w:noProof/>
                <w:webHidden/>
              </w:rPr>
              <w:tab/>
            </w:r>
            <w:r>
              <w:rPr>
                <w:noProof/>
                <w:webHidden/>
              </w:rPr>
              <w:fldChar w:fldCharType="begin"/>
            </w:r>
            <w:r>
              <w:rPr>
                <w:noProof/>
                <w:webHidden/>
              </w:rPr>
              <w:instrText xml:space="preserve"> PAGEREF _Toc187825543 \h </w:instrText>
            </w:r>
            <w:r>
              <w:rPr>
                <w:noProof/>
                <w:webHidden/>
              </w:rPr>
            </w:r>
            <w:r>
              <w:rPr>
                <w:noProof/>
                <w:webHidden/>
              </w:rPr>
              <w:fldChar w:fldCharType="separate"/>
            </w:r>
            <w:r>
              <w:rPr>
                <w:noProof/>
                <w:webHidden/>
              </w:rPr>
              <w:t>14</w:t>
            </w:r>
            <w:r>
              <w:rPr>
                <w:noProof/>
                <w:webHidden/>
              </w:rPr>
              <w:fldChar w:fldCharType="end"/>
            </w:r>
          </w:hyperlink>
        </w:p>
        <w:p w14:paraId="560093BA" w14:textId="2040F924" w:rsidR="003D375E" w:rsidRDefault="003D375E">
          <w:pPr>
            <w:pStyle w:val="Verzeichnis2"/>
            <w:tabs>
              <w:tab w:val="left" w:pos="960"/>
              <w:tab w:val="right" w:leader="dot" w:pos="8354"/>
            </w:tabs>
            <w:rPr>
              <w:rFonts w:asciiTheme="minorHAnsi" w:eastAsiaTheme="minorEastAsia" w:hAnsiTheme="minorHAnsi"/>
              <w:noProof/>
              <w:kern w:val="2"/>
              <w:sz w:val="24"/>
              <w:szCs w:val="24"/>
              <w:lang w:eastAsia="de-DE"/>
              <w14:ligatures w14:val="standardContextual"/>
            </w:rPr>
          </w:pPr>
          <w:hyperlink w:anchor="_Toc187825544" w:history="1">
            <w:r w:rsidRPr="00F01B87">
              <w:rPr>
                <w:rStyle w:val="Hyperlink"/>
                <w:noProof/>
              </w:rPr>
              <w:t>3.9</w:t>
            </w:r>
            <w:r>
              <w:rPr>
                <w:rFonts w:asciiTheme="minorHAnsi" w:eastAsiaTheme="minorEastAsia" w:hAnsiTheme="minorHAnsi"/>
                <w:noProof/>
                <w:kern w:val="2"/>
                <w:sz w:val="24"/>
                <w:szCs w:val="24"/>
                <w:lang w:eastAsia="de-DE"/>
                <w14:ligatures w14:val="standardContextual"/>
              </w:rPr>
              <w:tab/>
            </w:r>
            <w:r w:rsidRPr="00F01B87">
              <w:rPr>
                <w:rStyle w:val="Hyperlink"/>
                <w:noProof/>
              </w:rPr>
              <w:t>Streichung der detaillierten Ausgestaltung des Chemikalienverzeichnisses (Anlage 2 i.V.m. § 3 Abs. 2 Nr. 4 der 45. BImSchV)</w:t>
            </w:r>
            <w:r>
              <w:rPr>
                <w:noProof/>
                <w:webHidden/>
              </w:rPr>
              <w:tab/>
            </w:r>
            <w:r>
              <w:rPr>
                <w:noProof/>
                <w:webHidden/>
              </w:rPr>
              <w:fldChar w:fldCharType="begin"/>
            </w:r>
            <w:r>
              <w:rPr>
                <w:noProof/>
                <w:webHidden/>
              </w:rPr>
              <w:instrText xml:space="preserve"> PAGEREF _Toc187825544 \h </w:instrText>
            </w:r>
            <w:r>
              <w:rPr>
                <w:noProof/>
                <w:webHidden/>
              </w:rPr>
            </w:r>
            <w:r>
              <w:rPr>
                <w:noProof/>
                <w:webHidden/>
              </w:rPr>
              <w:fldChar w:fldCharType="separate"/>
            </w:r>
            <w:r>
              <w:rPr>
                <w:noProof/>
                <w:webHidden/>
              </w:rPr>
              <w:t>15</w:t>
            </w:r>
            <w:r>
              <w:rPr>
                <w:noProof/>
                <w:webHidden/>
              </w:rPr>
              <w:fldChar w:fldCharType="end"/>
            </w:r>
          </w:hyperlink>
        </w:p>
        <w:p w14:paraId="41D254C9" w14:textId="6F302A72" w:rsidR="00D220F4" w:rsidRDefault="00D220F4">
          <w:r>
            <w:rPr>
              <w:b/>
              <w:bCs/>
            </w:rPr>
            <w:fldChar w:fldCharType="end"/>
          </w:r>
        </w:p>
      </w:sdtContent>
    </w:sdt>
    <w:p w14:paraId="07390F24" w14:textId="77777777" w:rsidR="00EE51D5" w:rsidRDefault="00EE51D5">
      <w:pPr>
        <w:rPr>
          <w:sz w:val="20"/>
          <w:szCs w:val="20"/>
        </w:rPr>
      </w:pPr>
    </w:p>
    <w:p w14:paraId="058C1347" w14:textId="69CC2BAF" w:rsidR="00EE51D5" w:rsidRDefault="00EE51D5">
      <w:pPr>
        <w:jc w:val="left"/>
        <w:rPr>
          <w:sz w:val="20"/>
          <w:szCs w:val="20"/>
        </w:rPr>
      </w:pPr>
      <w:r>
        <w:rPr>
          <w:sz w:val="20"/>
          <w:szCs w:val="20"/>
        </w:rPr>
        <w:br w:type="page"/>
      </w:r>
    </w:p>
    <w:p w14:paraId="77CFAA23" w14:textId="305D3DF3" w:rsidR="0047262F" w:rsidRDefault="00720EE3" w:rsidP="002D6CFF">
      <w:pPr>
        <w:pStyle w:val="berschrift1"/>
      </w:pPr>
      <w:bookmarkStart w:id="1" w:name="_Toc187825521"/>
      <w:r>
        <w:lastRenderedPageBreak/>
        <w:t xml:space="preserve">Allgemeine </w:t>
      </w:r>
      <w:r w:rsidR="00951541">
        <w:t>Vorb</w:t>
      </w:r>
      <w:r>
        <w:t>emerkungen</w:t>
      </w:r>
      <w:bookmarkEnd w:id="1"/>
    </w:p>
    <w:p w14:paraId="46B7897A" w14:textId="77777777" w:rsidR="00CF5E82" w:rsidRDefault="00CF5E82" w:rsidP="00CF5E82">
      <w:r>
        <w:t>Grundsätzlich begrüßt ITAD, dass die Entwürfe auf eine 1:1-Umsetzung der europarechtlichen Vorgaben abzielen. Nach unserer Auffassung handelt es sich bei den Entwürfen jedoch in zahlreichen Fällen nicht um eine 1:1-Umsetzung, wie aus unseren Änderungsvorschlägen hervorgeht.</w:t>
      </w:r>
    </w:p>
    <w:p w14:paraId="0A21F9BF" w14:textId="0AE79EB2" w:rsidR="00CF5E82" w:rsidRDefault="00CF5E82" w:rsidP="00CF5E82">
      <w:r>
        <w:t xml:space="preserve">Schon historisch gehen </w:t>
      </w:r>
      <w:r w:rsidR="00F359B6">
        <w:t>beispielsweise die</w:t>
      </w:r>
      <w:r>
        <w:t xml:space="preserve"> Anforderungen der 17. BImSchV über die europarechtlichen Anforderungen an die Emissionsgrenzwerte hinaus. Insbesondere erfolgt in Deutschland keine positive Berücksichtigung des Betriebssauerstoffes bei der Berechnung der Schadstoffkonzentrationen im Abgas, sodass deutsche Thermische Abfallbehandlungsanlagen (TAB) höhere Anforderungen als ihre europäischen Nachbarn erfüllen müssen. </w:t>
      </w:r>
    </w:p>
    <w:p w14:paraId="5476C17E" w14:textId="49E51C7B" w:rsidR="00CF5E82" w:rsidRDefault="00CF5E82" w:rsidP="00CF5E82">
      <w:r>
        <w:t xml:space="preserve">Generell möchten wir darauf hinweisen, dass der bürokratische Aufwand durch die immer vielfältigeren und komplexen Berichtspflichten für unsere Mitglieder, aber auch für die deutsche Wirtschaft im Allgemeinen, stetig wächst und eine immer größere Herausforderung bei gleichzeitigen Problemen hinsichtlich der benötigten personellen Ressourcen bedeutet. Dies sehen wir als Risiko für deutsche TAB und für den Wirtschaftsstandort Deutschland insgesamt. Entsprechend empfehlen wir eindringlich, den europarechtlichen Spielraum bei der Umsetzung der EU-Vorgaben vollumfänglich auszunutzen und den </w:t>
      </w:r>
      <w:r w:rsidRPr="00681F46">
        <w:rPr>
          <w:b/>
          <w:bCs/>
        </w:rPr>
        <w:t>Bürokratieaufwand</w:t>
      </w:r>
      <w:r>
        <w:t xml:space="preserve"> zu </w:t>
      </w:r>
      <w:r w:rsidRPr="00681F46">
        <w:rPr>
          <w:b/>
          <w:bCs/>
        </w:rPr>
        <w:t>minimieren</w:t>
      </w:r>
      <w:r>
        <w:t>.</w:t>
      </w:r>
      <w:r w:rsidR="00B661D5">
        <w:t xml:space="preserve"> </w:t>
      </w:r>
      <w:r w:rsidR="0057770C">
        <w:t xml:space="preserve">Hierzu müssen </w:t>
      </w:r>
      <w:r w:rsidR="00852929">
        <w:t xml:space="preserve">aber auch </w:t>
      </w:r>
      <w:r w:rsidR="0057770C">
        <w:t xml:space="preserve">bereits bestehende Regelungen </w:t>
      </w:r>
      <w:r w:rsidR="00C2110F">
        <w:t>in den Gesetzgebungsverfahren berücksichtigt werden</w:t>
      </w:r>
      <w:r w:rsidR="001B20C2">
        <w:t xml:space="preserve">, um </w:t>
      </w:r>
      <w:r w:rsidR="002345DC">
        <w:t xml:space="preserve">doppelte Regelungen </w:t>
      </w:r>
      <w:r w:rsidR="0086241C">
        <w:t>und weitere, sich oft überschneidende</w:t>
      </w:r>
      <w:r w:rsidR="00210AA8">
        <w:t>,</w:t>
      </w:r>
      <w:r w:rsidR="0086241C">
        <w:t xml:space="preserve"> Berichtspflichten und Zertifizierungen</w:t>
      </w:r>
      <w:r w:rsidR="00210AA8">
        <w:t xml:space="preserve"> zu vermeiden</w:t>
      </w:r>
      <w:r w:rsidR="002345DC">
        <w:t>.</w:t>
      </w:r>
    </w:p>
    <w:p w14:paraId="6AE9E5F3" w14:textId="201C8C71" w:rsidR="00CF5E82" w:rsidRDefault="00CF5E82" w:rsidP="00CF5E82">
      <w:r>
        <w:t>Immer häufiger bekommen wir, sowohl von unseren Mitgliedern als auch von Unternehmen für die Durchführung von Audits und Zertifizierungen, die Rückmeldung, dass die Ressourcen nur in begrenztem Umfang zur Verfügung stehen, sodass immer frühzeitiger geplant werden muss. Möglichkeiten in der Reduzierung des Bürokratieaufwandes liegen aus unserer Sicht in der Möglichkeit, unterschiedliche Auditierungen oder Berichtspflichten, die sich thematisch in vielen Fällen überscheiden, so schlank wie möglich zu gestalten und, wo möglich, zusammenzufassen und bereits bestehende Berichtspflichten einzubeziehen. Beispielhaft verweisen wir an dieser Stelle auf unsere Hinweise zum</w:t>
      </w:r>
      <w:r w:rsidR="00ED1C9B">
        <w:t xml:space="preserve"> Umweltmanagements</w:t>
      </w:r>
      <w:r w:rsidR="00D10336">
        <w:t>ystem</w:t>
      </w:r>
      <w:r w:rsidR="00D6642F">
        <w:t xml:space="preserve"> und zum</w:t>
      </w:r>
      <w:r>
        <w:t xml:space="preserve"> Chemikalienverzeichnis des Entwurfes zur neuen 45. BImSchV.</w:t>
      </w:r>
    </w:p>
    <w:p w14:paraId="75617DE1" w14:textId="08C30104" w:rsidR="00D611F0" w:rsidRDefault="005171B7" w:rsidP="00CF5E82">
      <w:r>
        <w:t xml:space="preserve">Darüber hinaus bitten wir </w:t>
      </w:r>
      <w:r w:rsidR="00281C86">
        <w:t xml:space="preserve">insgesamt </w:t>
      </w:r>
      <w:r>
        <w:t xml:space="preserve">um eine effektive </w:t>
      </w:r>
      <w:r w:rsidR="00281C86">
        <w:t xml:space="preserve">und frühzeitige Einbindung der Wirtschaft in die Gesetzgebungsverfahren. Insbesondere im </w:t>
      </w:r>
      <w:r w:rsidR="008C3377">
        <w:t xml:space="preserve">vergangenen Jahr haben wir beobachtet, dass Fristen zur Stellungnahme auch bei umfangreichen </w:t>
      </w:r>
      <w:r w:rsidR="005C268A">
        <w:t>Verfahren sehr kurz sind</w:t>
      </w:r>
      <w:r w:rsidR="00782FFA">
        <w:t xml:space="preserve"> und so die konstruktive Auseinandersetzung </w:t>
      </w:r>
      <w:proofErr w:type="gramStart"/>
      <w:r w:rsidR="0058434A">
        <w:t>extrem erschweren</w:t>
      </w:r>
      <w:proofErr w:type="gramEnd"/>
      <w:r w:rsidR="0058434A">
        <w:t xml:space="preserve">. </w:t>
      </w:r>
      <w:r w:rsidR="00D411EC">
        <w:t>Als</w:t>
      </w:r>
      <w:r w:rsidR="0058434A">
        <w:t xml:space="preserve"> Beispiel </w:t>
      </w:r>
      <w:r w:rsidR="00D411EC">
        <w:t>sei hier die</w:t>
      </w:r>
      <w:r w:rsidR="0058434A">
        <w:t xml:space="preserve"> 17. BImSchV</w:t>
      </w:r>
      <w:r w:rsidR="00D411EC">
        <w:t xml:space="preserve"> genannt</w:t>
      </w:r>
      <w:r w:rsidR="0058434A">
        <w:t xml:space="preserve">, die </w:t>
      </w:r>
      <w:r w:rsidR="003207EE">
        <w:t xml:space="preserve">nun im Nachgang eine umfangreiche </w:t>
      </w:r>
      <w:r w:rsidR="005A2001">
        <w:t>Klarstellung durch Vollzugshilfen erfordert</w:t>
      </w:r>
      <w:r w:rsidR="008868D0">
        <w:t>. Auch im Rahmen der Umsetzung der IE-</w:t>
      </w:r>
      <w:r w:rsidR="008868D0">
        <w:lastRenderedPageBreak/>
        <w:t xml:space="preserve">Richtlinie </w:t>
      </w:r>
      <w:r w:rsidR="007B36CB">
        <w:t xml:space="preserve">erwarten wir umfangreiche </w:t>
      </w:r>
      <w:r w:rsidR="000B2A80">
        <w:t xml:space="preserve">Vollzugshilfen, um die komplexen Regelungen praxistauglich </w:t>
      </w:r>
      <w:r w:rsidR="00983F7A">
        <w:t xml:space="preserve">zu machen. </w:t>
      </w:r>
      <w:r w:rsidR="00A57F4D">
        <w:t xml:space="preserve">Auch an dieser Stelle halten wir die </w:t>
      </w:r>
      <w:r w:rsidR="00A57F4D" w:rsidRPr="00F24DB3">
        <w:rPr>
          <w:b/>
          <w:bCs/>
        </w:rPr>
        <w:t xml:space="preserve">Einbindung der Wirtschaft </w:t>
      </w:r>
      <w:r w:rsidR="00F24DB3" w:rsidRPr="00F24DB3">
        <w:rPr>
          <w:b/>
          <w:bCs/>
        </w:rPr>
        <w:t>im Rahmen der Erarbeitung von LAI-Vollzugshilfen</w:t>
      </w:r>
      <w:r w:rsidR="00F24DB3">
        <w:t xml:space="preserve"> </w:t>
      </w:r>
      <w:r w:rsidR="00A57F4D">
        <w:t>für geboten</w:t>
      </w:r>
      <w:r w:rsidR="00F24DB3">
        <w:t>.</w:t>
      </w:r>
    </w:p>
    <w:p w14:paraId="33396514" w14:textId="2A2779B0" w:rsidR="00650989" w:rsidRDefault="00CF5E82" w:rsidP="002903AB">
      <w:pPr>
        <w:rPr>
          <w:sz w:val="20"/>
          <w:szCs w:val="20"/>
        </w:rPr>
      </w:pPr>
      <w:r>
        <w:t>Die nachfolgende detaillierte Stellungnahme bezieht sich auf die vornehmlich für die Thermische Abfallbehandlung relevanten Regelungsinhalte, bei denen wir eine Anpassung auf Basis unserer aktuellen Einschätzungen empfehlen.</w:t>
      </w:r>
    </w:p>
    <w:p w14:paraId="7FBCB5A4" w14:textId="45417CDC" w:rsidR="009C4BC4" w:rsidRDefault="009C4BC4">
      <w:pPr>
        <w:jc w:val="left"/>
        <w:rPr>
          <w:sz w:val="20"/>
          <w:szCs w:val="20"/>
        </w:rPr>
      </w:pPr>
    </w:p>
    <w:p w14:paraId="7F687334" w14:textId="4ED2E95D" w:rsidR="00C57209" w:rsidRDefault="0087132A" w:rsidP="00F44928">
      <w:pPr>
        <w:pStyle w:val="berschrift1"/>
      </w:pPr>
      <w:bookmarkStart w:id="2" w:name="_Toc187825522"/>
      <w:r>
        <w:t>Mantelgesetz</w:t>
      </w:r>
      <w:r w:rsidR="00CA43F2">
        <w:t xml:space="preserve"> Artikel 1</w:t>
      </w:r>
      <w:r w:rsidR="004202C5">
        <w:t xml:space="preserve"> – Änderung des Bundes-I</w:t>
      </w:r>
      <w:r w:rsidR="00603C25">
        <w:t>m</w:t>
      </w:r>
      <w:r w:rsidR="004202C5">
        <w:t>missionsschutzgese</w:t>
      </w:r>
      <w:r w:rsidR="00603C25">
        <w:t>tzes</w:t>
      </w:r>
      <w:bookmarkEnd w:id="2"/>
    </w:p>
    <w:p w14:paraId="0FAF2B09" w14:textId="75A8BE3D" w:rsidR="001B50A1" w:rsidRDefault="003F23BC" w:rsidP="00F44928">
      <w:pPr>
        <w:pStyle w:val="berschrift2"/>
      </w:pPr>
      <w:bookmarkStart w:id="3" w:name="_Toc187825523"/>
      <w:r>
        <w:t xml:space="preserve">Ersetzen des </w:t>
      </w:r>
      <w:r w:rsidR="008F739C">
        <w:t>Begriff</w:t>
      </w:r>
      <w:r>
        <w:t>s</w:t>
      </w:r>
      <w:r w:rsidR="008F739C">
        <w:t xml:space="preserve"> </w:t>
      </w:r>
      <w:r>
        <w:t>„</w:t>
      </w:r>
      <w:r w:rsidR="00573BD2">
        <w:t>Dekarbonisierung</w:t>
      </w:r>
      <w:r>
        <w:t>“ mit dem Begriff „Defossilisierung“</w:t>
      </w:r>
      <w:r w:rsidR="00233F5D">
        <w:t xml:space="preserve"> (§1 Abs. 2)</w:t>
      </w:r>
      <w:bookmarkEnd w:id="3"/>
    </w:p>
    <w:p w14:paraId="3C539198" w14:textId="768C7B89" w:rsidR="000B482C" w:rsidRDefault="0024253B" w:rsidP="001B50A1">
      <w:r>
        <w:t xml:space="preserve">Der Begriff </w:t>
      </w:r>
      <w:r w:rsidR="00A05D18">
        <w:t>„</w:t>
      </w:r>
      <w:r>
        <w:t>Dekarbonisierung</w:t>
      </w:r>
      <w:r w:rsidR="00A05D18">
        <w:t>“</w:t>
      </w:r>
      <w:r>
        <w:t xml:space="preserve"> muss durch </w:t>
      </w:r>
      <w:r w:rsidR="00A05D18">
        <w:t>den Begriff „Defossilisierung“ ersetzt werden.</w:t>
      </w:r>
    </w:p>
    <w:p w14:paraId="572C688B" w14:textId="7150ADD9" w:rsidR="00AF6EAC" w:rsidRDefault="007358D8" w:rsidP="001B50A1">
      <w:r>
        <w:t xml:space="preserve">Der Begriff „Dekarbonisierung“ </w:t>
      </w:r>
      <w:r w:rsidR="005F69C7">
        <w:t>ist irreführend</w:t>
      </w:r>
      <w:r w:rsidR="00DA2B59">
        <w:t xml:space="preserve">. </w:t>
      </w:r>
      <w:r w:rsidR="00F42AAA">
        <w:t xml:space="preserve">Insbesondere ist </w:t>
      </w:r>
      <w:r w:rsidR="0067657F">
        <w:t>eines der</w:t>
      </w:r>
      <w:r w:rsidR="00F42AAA">
        <w:t xml:space="preserve"> Ziel</w:t>
      </w:r>
      <w:r w:rsidR="0067657F">
        <w:t>e</w:t>
      </w:r>
      <w:r w:rsidR="00F42AAA">
        <w:t xml:space="preserve"> </w:t>
      </w:r>
      <w:r w:rsidR="00304BD5">
        <w:t>von</w:t>
      </w:r>
      <w:r w:rsidR="00F42AAA">
        <w:t xml:space="preserve"> Thermischen Abfallbehandlung</w:t>
      </w:r>
      <w:r w:rsidR="00304BD5">
        <w:t>sanlagen (TAB)</w:t>
      </w:r>
      <w:r w:rsidR="00F42AAA">
        <w:t xml:space="preserve"> die </w:t>
      </w:r>
      <w:r w:rsidR="00C54441">
        <w:t>Überführung organischer Schadstoffe in ungefährliche</w:t>
      </w:r>
      <w:r w:rsidR="00CE7661">
        <w:t xml:space="preserve"> Stoffe</w:t>
      </w:r>
      <w:r w:rsidR="005C245E">
        <w:t>; im Wesentlichen</w:t>
      </w:r>
      <w:r w:rsidR="00C54441">
        <w:t xml:space="preserve"> Kohlendioxid (d.h. </w:t>
      </w:r>
      <w:r w:rsidR="00B91795">
        <w:t>Ziel ist die vollständige Oxidation)</w:t>
      </w:r>
      <w:r w:rsidR="005C245E">
        <w:t>.</w:t>
      </w:r>
      <w:r w:rsidR="00BD713A">
        <w:t xml:space="preserve"> </w:t>
      </w:r>
      <w:r w:rsidR="00A475A1">
        <w:t>D</w:t>
      </w:r>
      <w:r w:rsidR="007F178B">
        <w:t>er Eintrag von Kohlenstoff</w:t>
      </w:r>
      <w:r w:rsidR="00A475A1">
        <w:t xml:space="preserve"> </w:t>
      </w:r>
      <w:r w:rsidR="008C3280">
        <w:t xml:space="preserve">sowie die Art des Kohlenstoffs (fossil oder biogen) </w:t>
      </w:r>
      <w:r w:rsidR="00A475A1">
        <w:t xml:space="preserve">in TAB </w:t>
      </w:r>
      <w:r w:rsidR="007F178B">
        <w:t xml:space="preserve">wird </w:t>
      </w:r>
      <w:r w:rsidR="0010553B">
        <w:t>maßgeblich durch die Abfallerzeuger bestimmt</w:t>
      </w:r>
      <w:r w:rsidR="00FD59F2">
        <w:t xml:space="preserve">. </w:t>
      </w:r>
      <w:r w:rsidR="00BD713A">
        <w:t>Darüber hinaus ist</w:t>
      </w:r>
      <w:r w:rsidR="007E28A9">
        <w:t xml:space="preserve"> und bleibt auf absehbare Zeit</w:t>
      </w:r>
      <w:r w:rsidR="00BD713A">
        <w:t xml:space="preserve"> Kohlenstoff ein </w:t>
      </w:r>
      <w:r w:rsidR="007E28A9">
        <w:t>zentraler</w:t>
      </w:r>
      <w:r w:rsidR="00BD713A">
        <w:t xml:space="preserve"> Baustein vieler Materialien und Produkte</w:t>
      </w:r>
      <w:r w:rsidR="00BA661A">
        <w:t xml:space="preserve">; dessen Nutzung </w:t>
      </w:r>
      <w:r w:rsidR="00CE0241">
        <w:t>darf durch eine unscharfe Begriffsverwendung nicht ohne Not eingeschränkt werden</w:t>
      </w:r>
      <w:r w:rsidR="00BD713A">
        <w:t>.</w:t>
      </w:r>
    </w:p>
    <w:p w14:paraId="34F6D328" w14:textId="764D9642" w:rsidR="00573BD2" w:rsidRDefault="005C245E" w:rsidP="001B50A1">
      <w:r>
        <w:t xml:space="preserve">Problematisch </w:t>
      </w:r>
      <w:r w:rsidR="00BA7585">
        <w:t xml:space="preserve">im </w:t>
      </w:r>
      <w:r w:rsidR="00752C20">
        <w:t xml:space="preserve">umwelt- und </w:t>
      </w:r>
      <w:r w:rsidR="00BA7585">
        <w:t>klimarelevanten Kontext sind jedoch die fossilen Kohlen</w:t>
      </w:r>
      <w:r w:rsidR="000B482C">
        <w:t>dioxidemissionen</w:t>
      </w:r>
      <w:r w:rsidR="00304B49">
        <w:t xml:space="preserve"> bzw. die Nutzung von fossilem Kohlenstoff</w:t>
      </w:r>
      <w:r w:rsidR="008676B6">
        <w:t>.</w:t>
      </w:r>
    </w:p>
    <w:p w14:paraId="0765AF97" w14:textId="77777777" w:rsidR="00CE026A" w:rsidRDefault="00CE026A" w:rsidP="001B50A1"/>
    <w:p w14:paraId="26EA41ED" w14:textId="12C94B69" w:rsidR="00137441" w:rsidRDefault="00893EA7" w:rsidP="00F44928">
      <w:pPr>
        <w:pStyle w:val="berschrift2"/>
      </w:pPr>
      <w:bookmarkStart w:id="4" w:name="_Toc187825524"/>
      <w:r>
        <w:t>Streichung der Einbeziehung von Nicht-IED</w:t>
      </w:r>
      <w:r w:rsidR="00725D15">
        <w:t>-Anlagen</w:t>
      </w:r>
      <w:r w:rsidR="00066773">
        <w:t xml:space="preserve"> (§</w:t>
      </w:r>
      <w:r w:rsidR="00501FF2">
        <w:t xml:space="preserve"> </w:t>
      </w:r>
      <w:r w:rsidR="00066773">
        <w:t>1 Abs. 2; §</w:t>
      </w:r>
      <w:r w:rsidR="00501FF2">
        <w:t xml:space="preserve"> </w:t>
      </w:r>
      <w:r w:rsidR="00066773">
        <w:t>5 Abs. 1; §</w:t>
      </w:r>
      <w:r w:rsidR="00501FF2">
        <w:t xml:space="preserve"> </w:t>
      </w:r>
      <w:r w:rsidR="00066773">
        <w:t>7 Abs. 1)</w:t>
      </w:r>
      <w:bookmarkEnd w:id="4"/>
    </w:p>
    <w:p w14:paraId="267AF1E2" w14:textId="6B322320" w:rsidR="00137441" w:rsidRDefault="0078373F" w:rsidP="001B50A1">
      <w:r>
        <w:t>In den oben genannten Absätzen</w:t>
      </w:r>
      <w:r w:rsidR="00F0734E">
        <w:t xml:space="preserve"> wird</w:t>
      </w:r>
      <w:r w:rsidR="00527A9A">
        <w:t xml:space="preserve"> nicht </w:t>
      </w:r>
      <w:r w:rsidR="0015665B">
        <w:t xml:space="preserve">hinreichend </w:t>
      </w:r>
      <w:r w:rsidR="00527A9A">
        <w:t>zwischen IED-Anlagen und Nicht-IED-Anlagen unterschieden</w:t>
      </w:r>
      <w:r w:rsidR="0015665B">
        <w:t xml:space="preserve">, sodass die </w:t>
      </w:r>
      <w:r w:rsidR="002250DF">
        <w:t>für IED-Anlagen geltenden Anforderungen auch auf N</w:t>
      </w:r>
      <w:r w:rsidR="009B5879">
        <w:t>icht</w:t>
      </w:r>
      <w:r w:rsidR="002250DF">
        <w:t xml:space="preserve">-IED-Anlagen übertragen werden. </w:t>
      </w:r>
      <w:r w:rsidR="0037509C">
        <w:t xml:space="preserve">Somit geht also bereits die </w:t>
      </w:r>
      <w:r w:rsidR="00912FAE">
        <w:t>grundsätzliche Konstruktion des Gesetzesentwurfes über eine 1:1</w:t>
      </w:r>
      <w:r w:rsidR="00C34291">
        <w:t>-</w:t>
      </w:r>
      <w:r w:rsidR="00912FAE">
        <w:t>Umsetzung hinaus.</w:t>
      </w:r>
    </w:p>
    <w:p w14:paraId="0B4CE31D" w14:textId="335CE1F0" w:rsidR="000F654C" w:rsidRDefault="000F654C" w:rsidP="001B50A1">
      <w:r>
        <w:t xml:space="preserve">Entsprechend fordert ITAD hier die Überarbeitung des Entwurfes </w:t>
      </w:r>
      <w:r w:rsidR="00B31625">
        <w:t>und die Einführung einer klaren Differenzierung zwischen IED-Anlagen und Nicht-IED-Anlagen.</w:t>
      </w:r>
    </w:p>
    <w:p w14:paraId="1F60FCF5" w14:textId="77777777" w:rsidR="00137441" w:rsidRPr="001B50A1" w:rsidRDefault="00137441" w:rsidP="001B50A1"/>
    <w:p w14:paraId="1357B82C" w14:textId="2DD6EFFF" w:rsidR="0087132A" w:rsidRPr="00B9789F" w:rsidRDefault="00B3513A" w:rsidP="00F44928">
      <w:pPr>
        <w:pStyle w:val="berschrift2"/>
      </w:pPr>
      <w:bookmarkStart w:id="5" w:name="_Toc187825525"/>
      <w:r>
        <w:lastRenderedPageBreak/>
        <w:t>Streichung de</w:t>
      </w:r>
      <w:r w:rsidR="00942F4B">
        <w:t>r</w:t>
      </w:r>
      <w:r>
        <w:t xml:space="preserve"> </w:t>
      </w:r>
      <w:r w:rsidR="00942F4B">
        <w:t>Verknüpfung</w:t>
      </w:r>
      <w:r>
        <w:t xml:space="preserve"> </w:t>
      </w:r>
      <w:r w:rsidR="00F665F9">
        <w:t>von Umweltleistungswerten und Umweltmanagementsystem</w:t>
      </w:r>
      <w:r w:rsidR="0054315F">
        <w:t xml:space="preserve"> (</w:t>
      </w:r>
      <w:r w:rsidR="0054315F" w:rsidRPr="006B1754">
        <w:t xml:space="preserve">§ 3 Abs. </w:t>
      </w:r>
      <w:r w:rsidR="0054315F">
        <w:t xml:space="preserve">6b, </w:t>
      </w:r>
      <w:r w:rsidR="0054315F" w:rsidRPr="006B1754">
        <w:t xml:space="preserve">6h und </w:t>
      </w:r>
      <w:r w:rsidR="0054315F">
        <w:t>6</w:t>
      </w:r>
      <w:r w:rsidR="0054315F" w:rsidRPr="006B1754">
        <w:t>i)</w:t>
      </w:r>
      <w:bookmarkEnd w:id="5"/>
    </w:p>
    <w:p w14:paraId="276E0E9E" w14:textId="12F4BBEB" w:rsidR="00695067" w:rsidRDefault="00760C44" w:rsidP="007673A0">
      <w:r>
        <w:t>Der §</w:t>
      </w:r>
      <w:r w:rsidR="0003025D">
        <w:t xml:space="preserve"> </w:t>
      </w:r>
      <w:r>
        <w:t>3 umfasst die Begriffsbestimmunge</w:t>
      </w:r>
      <w:r w:rsidR="00680AFD">
        <w:t xml:space="preserve">n. Maßgeblich sollen hier die Begriffe definiert werden, nicht aber bereits </w:t>
      </w:r>
      <w:r w:rsidR="00C06404">
        <w:t>implizit Regelungen getroffen werden</w:t>
      </w:r>
      <w:r w:rsidR="00DE1B7C">
        <w:t>.</w:t>
      </w:r>
      <w:r w:rsidR="00DF4D78" w:rsidRPr="00DF4D78">
        <w:t xml:space="preserve"> </w:t>
      </w:r>
      <w:r w:rsidR="00F05A0F">
        <w:t xml:space="preserve">Im vorliegenden Entwurf werden aber </w:t>
      </w:r>
      <w:r w:rsidR="005B06A5">
        <w:t>die Definitionen miteinander verknüpft</w:t>
      </w:r>
      <w:r w:rsidR="004A14E4">
        <w:t xml:space="preserve">. </w:t>
      </w:r>
      <w:r w:rsidR="00DF4D78">
        <w:t xml:space="preserve">Dies ist für die Definitionen als solche irrelevant. Die Anforderungen an ein </w:t>
      </w:r>
      <w:r w:rsidR="00332902">
        <w:t xml:space="preserve">Umweltmanagementsystem (UMS) </w:t>
      </w:r>
      <w:r w:rsidR="00DF4D78">
        <w:t>müssen vollständig von der entsprechenden Rechtsverordnung</w:t>
      </w:r>
      <w:r w:rsidR="00296516">
        <w:t xml:space="preserve"> (Entwurf der neuen 45.</w:t>
      </w:r>
      <w:r w:rsidR="00DF4D78">
        <w:t xml:space="preserve"> </w:t>
      </w:r>
      <w:r w:rsidR="00296516">
        <w:t xml:space="preserve">BImSchV) </w:t>
      </w:r>
      <w:r w:rsidR="00DF4D78">
        <w:t>erfasst werden. Ein „Doppelregelung“ ist zudem unnötig kompliziert</w:t>
      </w:r>
      <w:r w:rsidR="007E4089">
        <w:t>.</w:t>
      </w:r>
    </w:p>
    <w:p w14:paraId="7E96A692" w14:textId="11BDE3DF" w:rsidR="00D740D2" w:rsidRDefault="00680AFD" w:rsidP="007673A0">
      <w:r>
        <w:t xml:space="preserve">Im </w:t>
      </w:r>
      <w:r w:rsidR="004F31BE">
        <w:t xml:space="preserve">Fall der </w:t>
      </w:r>
      <w:r w:rsidR="00B86FC4">
        <w:t xml:space="preserve">Begriffsbestimmung von „BVT-Schlussfolgerungen“ </w:t>
      </w:r>
      <w:r w:rsidR="0029171A">
        <w:t>w</w:t>
      </w:r>
      <w:r w:rsidR="000A63C2">
        <w:t>ird auch das U</w:t>
      </w:r>
      <w:r w:rsidR="007D41DB">
        <w:t>MS</w:t>
      </w:r>
      <w:r w:rsidR="00925072">
        <w:t xml:space="preserve"> unter Punkt 4 aufgezählt, allerdings</w:t>
      </w:r>
      <w:r w:rsidR="007D3B09">
        <w:t xml:space="preserve"> „einschließlich etwaiger Umweltleistungsvergleichswerte“</w:t>
      </w:r>
      <w:r w:rsidR="00DF4D78">
        <w:t>.</w:t>
      </w:r>
    </w:p>
    <w:p w14:paraId="4484A2AB" w14:textId="34A1AA4D" w:rsidR="00760C44" w:rsidRDefault="00760C44" w:rsidP="007673A0">
      <w:r>
        <w:t>I</w:t>
      </w:r>
      <w:r w:rsidR="00D740D2">
        <w:t>n den</w:t>
      </w:r>
      <w:r>
        <w:t xml:space="preserve"> F</w:t>
      </w:r>
      <w:r w:rsidR="00D740D2">
        <w:t>ä</w:t>
      </w:r>
      <w:r>
        <w:t>ll</w:t>
      </w:r>
      <w:r w:rsidR="00D740D2">
        <w:t>en</w:t>
      </w:r>
      <w:r>
        <w:t xml:space="preserve"> </w:t>
      </w:r>
      <w:r w:rsidR="00875EF8">
        <w:t>der Begriffsbestimmungen de</w:t>
      </w:r>
      <w:r w:rsidR="00A5021C">
        <w:t>s</w:t>
      </w:r>
      <w:r w:rsidR="00875EF8">
        <w:t xml:space="preserve"> „</w:t>
      </w:r>
      <w:r w:rsidR="00A5021C">
        <w:t>Umwelt</w:t>
      </w:r>
      <w:r w:rsidR="004D6FF0">
        <w:t>leistungsrichtwertes“ und des „Umweltleistungs</w:t>
      </w:r>
      <w:r w:rsidR="00950664">
        <w:t xml:space="preserve">vergleichswertes“ wird </w:t>
      </w:r>
      <w:r w:rsidR="008A7A73">
        <w:t>direkt auf das UMS Bezug genommen</w:t>
      </w:r>
      <w:r w:rsidR="00ED4138">
        <w:t>.</w:t>
      </w:r>
      <w:r w:rsidR="00ED346B">
        <w:t xml:space="preserve"> Diese sollten nicht Gegenstand </w:t>
      </w:r>
      <w:r w:rsidR="005B0ADC">
        <w:t>der UMS sein</w:t>
      </w:r>
      <w:r w:rsidR="00E55F27">
        <w:t>, sondern im Interesse der Rechtssicherheit nur von der Behörde in der Genehmigung festgelegt werden.</w:t>
      </w:r>
    </w:p>
    <w:p w14:paraId="50DA59C1" w14:textId="364E97E8" w:rsidR="0008134B" w:rsidRDefault="0008134B" w:rsidP="007673A0">
      <w:r>
        <w:t xml:space="preserve">Entsprechend </w:t>
      </w:r>
      <w:r w:rsidR="00B50950">
        <w:t xml:space="preserve">bittet ITAD </w:t>
      </w:r>
      <w:r w:rsidR="009F6F7B">
        <w:t xml:space="preserve">hier </w:t>
      </w:r>
      <w:r w:rsidR="00945792">
        <w:t>um</w:t>
      </w:r>
      <w:r>
        <w:t xml:space="preserve"> </w:t>
      </w:r>
      <w:r w:rsidR="00154697">
        <w:t xml:space="preserve">das </w:t>
      </w:r>
      <w:r w:rsidR="005F4540">
        <w:t xml:space="preserve">ersatzlose </w:t>
      </w:r>
      <w:r w:rsidR="00154697">
        <w:t xml:space="preserve">Streichen der </w:t>
      </w:r>
      <w:r w:rsidR="00190C73">
        <w:t>Verknü</w:t>
      </w:r>
      <w:r w:rsidR="00097436">
        <w:t>pfungen mit dem</w:t>
      </w:r>
      <w:r w:rsidR="005F4540">
        <w:t xml:space="preserve"> UMS</w:t>
      </w:r>
      <w:r w:rsidR="003E3F00">
        <w:t>.</w:t>
      </w:r>
    </w:p>
    <w:p w14:paraId="7098F220" w14:textId="77777777" w:rsidR="00C57209" w:rsidRDefault="00C57209" w:rsidP="003C7ABE"/>
    <w:p w14:paraId="0A6C2664" w14:textId="252CBA07" w:rsidR="003659B2" w:rsidRDefault="00C71C1B" w:rsidP="00F44928">
      <w:pPr>
        <w:pStyle w:val="berschrift2"/>
      </w:pPr>
      <w:bookmarkStart w:id="6" w:name="_Toc187825526"/>
      <w:r>
        <w:t xml:space="preserve">Einführung einer </w:t>
      </w:r>
      <w:r w:rsidR="003659B2">
        <w:t xml:space="preserve">Definition </w:t>
      </w:r>
      <w:r>
        <w:t>des Begriffs</w:t>
      </w:r>
      <w:r w:rsidR="003659B2">
        <w:t xml:space="preserve"> </w:t>
      </w:r>
      <w:r>
        <w:t>„</w:t>
      </w:r>
      <w:r w:rsidR="003659B2">
        <w:t>Zukunftstechnik</w:t>
      </w:r>
      <w:r>
        <w:t>“</w:t>
      </w:r>
      <w:r w:rsidR="007370AA">
        <w:t xml:space="preserve"> (</w:t>
      </w:r>
      <w:r>
        <w:t>§</w:t>
      </w:r>
      <w:r w:rsidR="00176FA6">
        <w:t> </w:t>
      </w:r>
      <w:r>
        <w:t>3)</w:t>
      </w:r>
      <w:bookmarkEnd w:id="6"/>
    </w:p>
    <w:p w14:paraId="1214E702" w14:textId="77777777" w:rsidR="00554E0A" w:rsidRDefault="003F49E6" w:rsidP="003C7ABE">
      <w:r>
        <w:t xml:space="preserve">Eine </w:t>
      </w:r>
      <w:r w:rsidR="00D35180">
        <w:t>Definition bzw. Begriffsbestimmung von „Zukunftstechnik</w:t>
      </w:r>
      <w:r w:rsidR="00C126F9">
        <w:t>“, wie sie in Artikel 3</w:t>
      </w:r>
      <w:r w:rsidR="00EE467C">
        <w:t xml:space="preserve"> Abs. 14 der IED </w:t>
      </w:r>
      <w:r w:rsidR="00FE7FE0">
        <w:t>aufgeführt ist, fehlt gänzlich.</w:t>
      </w:r>
    </w:p>
    <w:p w14:paraId="70D2FD84" w14:textId="1F48AB50" w:rsidR="003659B2" w:rsidRDefault="00D1722D" w:rsidP="003C7ABE">
      <w:r>
        <w:t>ITAD empfiehlt</w:t>
      </w:r>
      <w:r w:rsidR="00FE7FE0">
        <w:t xml:space="preserve">, diese 1:1 </w:t>
      </w:r>
      <w:r w:rsidR="0030041D">
        <w:t>aus der IED zu übernehmen und i</w:t>
      </w:r>
      <w:r w:rsidR="00A93451">
        <w:t>m</w:t>
      </w:r>
      <w:r w:rsidR="0030041D">
        <w:t xml:space="preserve"> §</w:t>
      </w:r>
      <w:r w:rsidR="00C71C1B">
        <w:t xml:space="preserve"> </w:t>
      </w:r>
      <w:r w:rsidR="0030041D">
        <w:t xml:space="preserve">3 des BImSchG </w:t>
      </w:r>
      <w:r w:rsidR="008E4275">
        <w:t>einzuführen.</w:t>
      </w:r>
    </w:p>
    <w:p w14:paraId="5ACCCBFD" w14:textId="77777777" w:rsidR="003F49E6" w:rsidRPr="00B9789F" w:rsidRDefault="003F49E6" w:rsidP="003C7ABE"/>
    <w:p w14:paraId="760C71C2" w14:textId="0C3E5E93" w:rsidR="00C57209" w:rsidRPr="00B9789F" w:rsidRDefault="00FF540D" w:rsidP="00F44928">
      <w:pPr>
        <w:pStyle w:val="berschrift2"/>
      </w:pPr>
      <w:bookmarkStart w:id="7" w:name="_Toc187825527"/>
      <w:r>
        <w:t xml:space="preserve">Anpassung an EU-Vorgaben, sodass </w:t>
      </w:r>
      <w:r w:rsidR="00255D13">
        <w:t xml:space="preserve">der Detailgrad des </w:t>
      </w:r>
      <w:r w:rsidR="0048355D" w:rsidRPr="0048355D">
        <w:t>UMS</w:t>
      </w:r>
      <w:r w:rsidR="00255D13">
        <w:t xml:space="preserve"> </w:t>
      </w:r>
      <w:r w:rsidR="006A0FC8">
        <w:t>die</w:t>
      </w:r>
      <w:r w:rsidR="00255D13">
        <w:t xml:space="preserve"> A</w:t>
      </w:r>
      <w:r w:rsidR="0017336D">
        <w:t>n</w:t>
      </w:r>
      <w:r w:rsidR="00255D13">
        <w:t>lagenspezifika</w:t>
      </w:r>
      <w:r w:rsidR="00B830D8">
        <w:t xml:space="preserve"> </w:t>
      </w:r>
      <w:r w:rsidR="006A0FC8">
        <w:t>einbezieht</w:t>
      </w:r>
      <w:r w:rsidR="00176FA6">
        <w:t xml:space="preserve"> (§ 5)</w:t>
      </w:r>
      <w:bookmarkEnd w:id="7"/>
    </w:p>
    <w:p w14:paraId="373A1C3A" w14:textId="6C5526F6" w:rsidR="00CA0C8F" w:rsidRDefault="00507D11" w:rsidP="00CA0C8F">
      <w:r>
        <w:t>Um eine 1:1</w:t>
      </w:r>
      <w:r w:rsidR="00A93451">
        <w:t>-</w:t>
      </w:r>
      <w:r>
        <w:t>Umsetzung zu erreichen</w:t>
      </w:r>
      <w:r w:rsidR="00F23B32">
        <w:t xml:space="preserve"> und den Grundsatz der Verhältnismäßigkeit </w:t>
      </w:r>
      <w:r w:rsidR="003263F7">
        <w:t>zu wahren,</w:t>
      </w:r>
      <w:r>
        <w:t xml:space="preserve"> muss </w:t>
      </w:r>
      <w:r w:rsidR="003263F7">
        <w:t xml:space="preserve">bereits im Rahmen der </w:t>
      </w:r>
      <w:r w:rsidR="00043E92">
        <w:t>Novellierung des BImSchG verankert werden, dass sich di</w:t>
      </w:r>
      <w:r w:rsidR="007A08C3">
        <w:t xml:space="preserve">e detaillierte Ausgestaltung des </w:t>
      </w:r>
      <w:r w:rsidR="00380EE5">
        <w:t xml:space="preserve">UMS nach den Spezifika </w:t>
      </w:r>
      <w:r w:rsidR="004F4C87">
        <w:t xml:space="preserve">der Anlagen </w:t>
      </w:r>
      <w:r w:rsidR="00380EE5">
        <w:t>(</w:t>
      </w:r>
      <w:r w:rsidR="00FF3B45">
        <w:t xml:space="preserve">Art und Komplexität </w:t>
      </w:r>
      <w:r w:rsidR="004F4C87">
        <w:t xml:space="preserve">der Anlage; potenzielle Umweltauswirkungen der Anlage) </w:t>
      </w:r>
      <w:r w:rsidR="00A666BE">
        <w:t>richtet.</w:t>
      </w:r>
    </w:p>
    <w:p w14:paraId="68B04381" w14:textId="7CBB2753" w:rsidR="00CA0C8F" w:rsidRDefault="0056185A" w:rsidP="00CA0C8F">
      <w:r>
        <w:t xml:space="preserve">ITAD schlägt vor, </w:t>
      </w:r>
      <w:r w:rsidR="00D716AC">
        <w:t>den Text der IED</w:t>
      </w:r>
      <w:r w:rsidR="00DF00A8">
        <w:t xml:space="preserve"> </w:t>
      </w:r>
      <w:r w:rsidR="000179E5">
        <w:t xml:space="preserve">Art. </w:t>
      </w:r>
      <w:r w:rsidR="00DF00A8" w:rsidRPr="008178BC">
        <w:t>14 a Abs. 3</w:t>
      </w:r>
      <w:r w:rsidR="00D716AC">
        <w:t xml:space="preserve"> („</w:t>
      </w:r>
      <w:r w:rsidR="00CA0C8F" w:rsidRPr="00CA0C8F">
        <w:t xml:space="preserve">Der Grad der Detailgenauigkeit des Umweltmanagementsystems muss der Art, dem Umfang und der Komplexität der Anlage sowie ihren sämtlichen potenziellen </w:t>
      </w:r>
      <w:r w:rsidR="00CA0C8F" w:rsidRPr="00CA0C8F">
        <w:lastRenderedPageBreak/>
        <w:t>Umweltauswirkungen entsprechen.</w:t>
      </w:r>
      <w:r w:rsidR="00DF00A8">
        <w:t xml:space="preserve">“) </w:t>
      </w:r>
      <w:r w:rsidR="006854E4">
        <w:t xml:space="preserve">ebenfalls nach </w:t>
      </w:r>
      <w:r w:rsidR="00D12BEE">
        <w:t>§ 5 Abs. 1 (1) einzufügen.</w:t>
      </w:r>
    </w:p>
    <w:p w14:paraId="3EED3CCB" w14:textId="4D1A92D0" w:rsidR="002A1F5F" w:rsidRDefault="002A1F5F" w:rsidP="003C7ABE"/>
    <w:p w14:paraId="3BEB4E64" w14:textId="59392E10" w:rsidR="008B0FE7" w:rsidRDefault="008B0FE7" w:rsidP="00F44928">
      <w:pPr>
        <w:pStyle w:val="berschrift2"/>
      </w:pPr>
      <w:bookmarkStart w:id="8" w:name="_Toc187825528"/>
      <w:r w:rsidRPr="008B0FE7">
        <w:t xml:space="preserve">Ausnahmekatalog </w:t>
      </w:r>
      <w:r w:rsidR="00A22078">
        <w:t xml:space="preserve">nach </w:t>
      </w:r>
      <w:r w:rsidR="00CA1C28">
        <w:t xml:space="preserve">EU-Vorgaben </w:t>
      </w:r>
      <w:r w:rsidR="00FE0208">
        <w:t xml:space="preserve">durch </w:t>
      </w:r>
      <w:r w:rsidR="00FE0208" w:rsidRPr="008B0FE7">
        <w:t xml:space="preserve">Aufnahme des geografischen Standorts und der lokalen Umweltbedingungen </w:t>
      </w:r>
      <w:r w:rsidRPr="008B0FE7">
        <w:t>vervollständigen (§ 7</w:t>
      </w:r>
      <w:r w:rsidR="00697AFB">
        <w:t xml:space="preserve"> Abs. 1c</w:t>
      </w:r>
      <w:r w:rsidRPr="008B0FE7">
        <w:t>)</w:t>
      </w:r>
      <w:bookmarkEnd w:id="8"/>
    </w:p>
    <w:p w14:paraId="1712D363" w14:textId="7C169760" w:rsidR="00792FD3" w:rsidRDefault="00792FD3" w:rsidP="00792FD3">
      <w:r>
        <w:t>§ 7 Abs. 1c setzt das in Art. 15 Abs. 5 und 6 IED vorgesehene Ausnahmeverfahren für die Festlegung von verbindlichen Emissionsgrenzwerten bzw. von verbindlichen Spannen für Umweltleistungen und Umweltleistungsgrenzwerten um. Die Ergänzung der Kriterien „geographischer Standort“ und „lokale Umweltbedingungen“</w:t>
      </w:r>
      <w:r w:rsidR="00330952">
        <w:t xml:space="preserve">, </w:t>
      </w:r>
      <w:r w:rsidR="00BB0075">
        <w:t>die bei einer 1:1-Umsetzung</w:t>
      </w:r>
      <w:r>
        <w:t xml:space="preserve"> </w:t>
      </w:r>
      <w:r w:rsidR="00BB0075">
        <w:t xml:space="preserve">erforderlich ist, </w:t>
      </w:r>
      <w:r>
        <w:t xml:space="preserve">fehlt bisher in § 7 Abs. 1c) Nr. 1 Buchstabe a) und b) sowie in § 7 Abs. 1c) Nr. 2 Buchstabe a) und b). </w:t>
      </w:r>
    </w:p>
    <w:p w14:paraId="48442C65" w14:textId="194FDC2B" w:rsidR="00792FD3" w:rsidRDefault="00792FD3" w:rsidP="00792FD3">
      <w:r>
        <w:t xml:space="preserve">Es ist davon auszugehen, dass </w:t>
      </w:r>
      <w:r w:rsidR="00A6611E">
        <w:t xml:space="preserve">mit fortschreitender Verschärfung </w:t>
      </w:r>
      <w:r>
        <w:t xml:space="preserve">die Ausnahmeregelungen an </w:t>
      </w:r>
      <w:r w:rsidR="00AB1FB3">
        <w:t>Bedeutung</w:t>
      </w:r>
      <w:r>
        <w:t xml:space="preserve"> gewinnen. </w:t>
      </w:r>
      <w:r w:rsidR="004E34C0">
        <w:t xml:space="preserve">Um ein </w:t>
      </w:r>
      <w:r w:rsidR="00502F3B">
        <w:t xml:space="preserve">europäisches </w:t>
      </w:r>
      <w:r w:rsidR="004E34C0">
        <w:t>„</w:t>
      </w:r>
      <w:proofErr w:type="spellStart"/>
      <w:r w:rsidR="00502F3B">
        <w:t>l</w:t>
      </w:r>
      <w:r w:rsidR="004E34C0">
        <w:t>evel-playing-field</w:t>
      </w:r>
      <w:proofErr w:type="spellEnd"/>
      <w:r w:rsidR="004E34C0">
        <w:t xml:space="preserve">“ </w:t>
      </w:r>
      <w:r w:rsidR="00502F3B">
        <w:t>zu gewährleisten</w:t>
      </w:r>
      <w:r w:rsidR="00317B7E">
        <w:t xml:space="preserve"> und die Wettbewerbsfähigkeit deutscher TAB sicherzustellen</w:t>
      </w:r>
      <w:r w:rsidR="00502F3B">
        <w:t xml:space="preserve">, </w:t>
      </w:r>
      <w:r w:rsidR="00677281">
        <w:t>d</w:t>
      </w:r>
      <w:r w:rsidR="00CA6637">
        <w:t>arf der</w:t>
      </w:r>
      <w:r w:rsidR="00770BD8">
        <w:t xml:space="preserve"> europarechtliche </w:t>
      </w:r>
      <w:r w:rsidR="00CA6637">
        <w:t>Spielraum</w:t>
      </w:r>
      <w:r w:rsidR="00770BD8">
        <w:t xml:space="preserve"> nicht </w:t>
      </w:r>
      <w:r w:rsidR="00D637C0">
        <w:t xml:space="preserve">weiter </w:t>
      </w:r>
      <w:r w:rsidR="00770BD8">
        <w:t>beschnitten werden</w:t>
      </w:r>
      <w:r w:rsidR="00D637C0">
        <w:t>.</w:t>
      </w:r>
    </w:p>
    <w:p w14:paraId="3F144F56" w14:textId="7A4021D2" w:rsidR="009E0E2A" w:rsidRDefault="00FB1A5D" w:rsidP="00792FD3">
      <w:r>
        <w:t>Analog sollten die</w:t>
      </w:r>
      <w:r w:rsidR="00792FD3">
        <w:t xml:space="preserve"> Kriterien in § 12 Abs. 1b), § 17 Abs. 2b) und § 48 Abs. 1b) ergänzt werden.</w:t>
      </w:r>
    </w:p>
    <w:p w14:paraId="0D3034F3" w14:textId="77777777" w:rsidR="008B0FE7" w:rsidRDefault="008B0FE7" w:rsidP="003C7ABE"/>
    <w:p w14:paraId="026DF558" w14:textId="07782B66" w:rsidR="0087612C" w:rsidRDefault="007F0D3D" w:rsidP="00F44928">
      <w:pPr>
        <w:pStyle w:val="berschrift2"/>
      </w:pPr>
      <w:bookmarkStart w:id="9" w:name="_Toc187825529"/>
      <w:r>
        <w:t>Anpassung an EU-Vorgaben, dass</w:t>
      </w:r>
      <w:r w:rsidR="005D41E9" w:rsidRPr="005D41E9">
        <w:t xml:space="preserve"> Ausnahmeverfahren nicht für Festlegung von Grenzwerten innerhalb europäischer Bandbreiten gelten (§ 7</w:t>
      </w:r>
      <w:r w:rsidR="00DE356D">
        <w:t xml:space="preserve"> Abs. 1d)</w:t>
      </w:r>
      <w:bookmarkEnd w:id="9"/>
    </w:p>
    <w:p w14:paraId="07D763BE" w14:textId="500966AF" w:rsidR="00BE1DC9" w:rsidRDefault="007C2533" w:rsidP="00BE1DC9">
      <w:r>
        <w:t xml:space="preserve">Im vorliegenden </w:t>
      </w:r>
      <w:r w:rsidR="00894554">
        <w:t xml:space="preserve">Entwurf sollte klargestellt werden, dass das </w:t>
      </w:r>
      <w:r w:rsidR="00BE1DC9">
        <w:t>Ausnahmeverfahren des Art. 15 Abs. 5 IED nur für die Festlegung von Emissionsgrenzwerten außerhalb der europäisch festgelegten Bandbreiten gelten</w:t>
      </w:r>
      <w:r w:rsidR="00F026FF">
        <w:t xml:space="preserve">, nicht aber </w:t>
      </w:r>
      <w:r w:rsidR="00463D20">
        <w:t>für</w:t>
      </w:r>
      <w:r w:rsidR="00BE1DC9">
        <w:t xml:space="preserve"> innerhalb der europäisch festgelegten Bandbreiten</w:t>
      </w:r>
      <w:r w:rsidR="00463D20">
        <w:t>.</w:t>
      </w:r>
    </w:p>
    <w:p w14:paraId="7DBF5819" w14:textId="1783878D" w:rsidR="00AA6F28" w:rsidRDefault="00EC74CA" w:rsidP="00AA6F28">
      <w:r>
        <w:t xml:space="preserve">Im entsprechenden Erwägungsgrund der IED heißt es hierzu: </w:t>
      </w:r>
      <w:r w:rsidR="00AA6F28" w:rsidRPr="008874A8">
        <w:rPr>
          <w:i/>
          <w:iCs/>
        </w:rPr>
        <w:t>„Bei der Festlegung von Emissionsgrenzwerten innerhalb der Spanne der BVT-assoziierten Emissionswerte sollte das Ausnahmeverfahren nicht anwendbar sein.“</w:t>
      </w:r>
    </w:p>
    <w:p w14:paraId="737FA410" w14:textId="77777777" w:rsidR="00AA6F28" w:rsidRDefault="00AA6F28" w:rsidP="00BE1DC9"/>
    <w:p w14:paraId="074D7EAE" w14:textId="1934A62E" w:rsidR="00BF2739" w:rsidRDefault="006C25F4" w:rsidP="00F44928">
      <w:pPr>
        <w:pStyle w:val="berschrift2"/>
      </w:pPr>
      <w:bookmarkStart w:id="10" w:name="_Toc187825530"/>
      <w:r>
        <w:t>„</w:t>
      </w:r>
      <w:r w:rsidR="00057571">
        <w:t>Soll</w:t>
      </w:r>
      <w:r>
        <w:t>“</w:t>
      </w:r>
      <w:r w:rsidR="00057571">
        <w:t>-</w:t>
      </w:r>
      <w:r w:rsidR="003E4D28">
        <w:t>Regelung</w:t>
      </w:r>
      <w:r w:rsidR="00057571">
        <w:t xml:space="preserve"> anstell</w:t>
      </w:r>
      <w:r w:rsidR="003E4D28">
        <w:t xml:space="preserve">e von </w:t>
      </w:r>
      <w:r>
        <w:t>„</w:t>
      </w:r>
      <w:r w:rsidR="003E4D28">
        <w:t>Kann</w:t>
      </w:r>
      <w:r>
        <w:t>“</w:t>
      </w:r>
      <w:r w:rsidR="003E4D28">
        <w:t>-Regelungen</w:t>
      </w:r>
      <w:r w:rsidR="00E57843">
        <w:t xml:space="preserve"> (</w:t>
      </w:r>
      <w:r w:rsidR="00946CE5">
        <w:t>§ 7</w:t>
      </w:r>
      <w:r w:rsidR="00E57843">
        <w:t>)</w:t>
      </w:r>
      <w:bookmarkEnd w:id="10"/>
    </w:p>
    <w:p w14:paraId="5C7EC2D0" w14:textId="04E47B08" w:rsidR="00E57843" w:rsidRDefault="000C20BB" w:rsidP="00E57843">
      <w:r>
        <w:t xml:space="preserve">Sowohl in Bezug auf die Ausnahmeregelungen </w:t>
      </w:r>
      <w:r w:rsidR="002D6BD3">
        <w:t xml:space="preserve">für die </w:t>
      </w:r>
      <w:commentRangeStart w:id="11"/>
      <w:r w:rsidR="002D6BD3">
        <w:t>„tiefgreifende industrielle Transformation“</w:t>
      </w:r>
      <w:commentRangeEnd w:id="11"/>
      <w:r w:rsidR="00F17F41">
        <w:rPr>
          <w:rStyle w:val="Kommentarzeichen"/>
        </w:rPr>
        <w:commentReference w:id="11"/>
      </w:r>
      <w:r w:rsidR="00036C69">
        <w:t xml:space="preserve"> (Fristverlängerung um </w:t>
      </w:r>
      <w:r w:rsidR="00BA73D0">
        <w:t>max. 8 Jahre)</w:t>
      </w:r>
      <w:r w:rsidR="002D6BD3">
        <w:t xml:space="preserve"> als auch </w:t>
      </w:r>
      <w:r w:rsidR="00B7418F">
        <w:t xml:space="preserve">für die „Anwendung von Zukunftstechnologien“ </w:t>
      </w:r>
      <w:r w:rsidR="00CB14D0">
        <w:t xml:space="preserve">werden im vorliegenden Entwurf </w:t>
      </w:r>
      <w:r w:rsidR="00D70C42">
        <w:t>„</w:t>
      </w:r>
      <w:r w:rsidR="00CB14D0">
        <w:t>Kann</w:t>
      </w:r>
      <w:r w:rsidR="004D78FC">
        <w:t>“</w:t>
      </w:r>
      <w:r w:rsidR="00CB14D0">
        <w:t>-Regelungen angezogen.</w:t>
      </w:r>
    </w:p>
    <w:p w14:paraId="1277A038" w14:textId="6E13BCC2" w:rsidR="00CB14D0" w:rsidRDefault="00031236" w:rsidP="00E57843">
      <w:r w:rsidRPr="00031236">
        <w:lastRenderedPageBreak/>
        <w:t>Mit der Änderung von einer „Kann“-Regelung zu einer „Soll“-Regelung wird dem Verordnungsgeber bzw. der Behörde ein deutliches Signal gegeben, dass alle von der IED vorgesehenen Ausnahmeregime auch in das Verordnungsrecht übernommen bzw. in der Praxis angewendet werden sollen.</w:t>
      </w:r>
    </w:p>
    <w:p w14:paraId="178F8EF9" w14:textId="55C47D9C" w:rsidR="00E57843" w:rsidRPr="00E57843" w:rsidRDefault="009B2C5A" w:rsidP="00E57843">
      <w:r>
        <w:t>ITAD schlägt daher vor, die</w:t>
      </w:r>
      <w:r w:rsidR="004D78FC">
        <w:t>se „Kann“-Regelungen durch „Soll“-Regelungen zu ersetzen</w:t>
      </w:r>
      <w:r w:rsidR="00974C56">
        <w:t>.</w:t>
      </w:r>
    </w:p>
    <w:p w14:paraId="2D093E6A" w14:textId="359D7458" w:rsidR="00BF2739" w:rsidRDefault="00BF2739" w:rsidP="003C7ABE"/>
    <w:p w14:paraId="37FB521A" w14:textId="00788B90" w:rsidR="00C57209" w:rsidRPr="00B9789F" w:rsidRDefault="007407FF" w:rsidP="00F44928">
      <w:pPr>
        <w:pStyle w:val="berschrift2"/>
      </w:pPr>
      <w:bookmarkStart w:id="12" w:name="_Toc187825531"/>
      <w:r>
        <w:t>Anpassung</w:t>
      </w:r>
      <w:r w:rsidR="00156214">
        <w:t xml:space="preserve"> an EU-Vorgaben</w:t>
      </w:r>
      <w:r>
        <w:t xml:space="preserve">, sodass </w:t>
      </w:r>
      <w:r w:rsidR="00B1018A">
        <w:t xml:space="preserve">konsolidierte Fassungen von </w:t>
      </w:r>
      <w:r w:rsidR="00254C33" w:rsidRPr="00254C33">
        <w:t xml:space="preserve">Nebenbestimmungen </w:t>
      </w:r>
      <w:r w:rsidR="00B1018A">
        <w:t>nicht der Rege</w:t>
      </w:r>
      <w:r w:rsidR="00156214">
        <w:t>lfall werden</w:t>
      </w:r>
      <w:r w:rsidR="00C06AAB">
        <w:t xml:space="preserve"> (</w:t>
      </w:r>
      <w:r w:rsidR="00C06AAB" w:rsidRPr="00254C33">
        <w:t>§ 10 Abs. 8 a</w:t>
      </w:r>
      <w:r w:rsidR="00C06AAB">
        <w:t>)</w:t>
      </w:r>
      <w:bookmarkEnd w:id="12"/>
    </w:p>
    <w:p w14:paraId="5F339876" w14:textId="357E2F94" w:rsidR="004A09C6" w:rsidRDefault="004A09C6" w:rsidP="008E3457">
      <w:r>
        <w:t xml:space="preserve">Die im Entwurf vorgeschlagene </w:t>
      </w:r>
      <w:r w:rsidR="00841BE3">
        <w:t>Änderung geht ebenfalls über eine 1:1</w:t>
      </w:r>
      <w:r w:rsidR="00366065">
        <w:t>-</w:t>
      </w:r>
      <w:r w:rsidR="00841BE3">
        <w:t xml:space="preserve">Umsetzung </w:t>
      </w:r>
      <w:r w:rsidR="00F81C22">
        <w:t xml:space="preserve">der europarechtlichen Vorgaben hinaus, da hier </w:t>
      </w:r>
      <w:r w:rsidR="003A5142">
        <w:t xml:space="preserve">die Veröffentlichung </w:t>
      </w:r>
      <w:r w:rsidR="00FD520A">
        <w:t xml:space="preserve">einer konsolidierten Fassung zum Regelfall </w:t>
      </w:r>
      <w:r w:rsidR="000023ED">
        <w:t xml:space="preserve">gemacht wird. </w:t>
      </w:r>
      <w:r w:rsidR="00AB592E">
        <w:t xml:space="preserve">Europarechtlich gefordert wird </w:t>
      </w:r>
      <w:r w:rsidR="00C62061">
        <w:t xml:space="preserve">die Veröffentlichung einer konsolidierten Fassung </w:t>
      </w:r>
      <w:r w:rsidR="00A8055E">
        <w:t xml:space="preserve">aber nur </w:t>
      </w:r>
      <w:r w:rsidR="008E5A32">
        <w:t>„</w:t>
      </w:r>
      <w:r w:rsidR="00A8055E">
        <w:t>gegebenenfalls</w:t>
      </w:r>
      <w:r w:rsidR="008E5A32">
        <w:t>“ bzw.</w:t>
      </w:r>
      <w:r w:rsidR="00A8055E">
        <w:t xml:space="preserve"> </w:t>
      </w:r>
      <w:r w:rsidR="002347DC">
        <w:t>im begründeten Bedarfsfall.</w:t>
      </w:r>
    </w:p>
    <w:p w14:paraId="717C793F" w14:textId="31D23892" w:rsidR="00B6370F" w:rsidRDefault="008E3457" w:rsidP="00B6370F">
      <w:r>
        <w:t xml:space="preserve">Genehmigungen von </w:t>
      </w:r>
      <w:r w:rsidR="006D6497">
        <w:t>TAB</w:t>
      </w:r>
      <w:r w:rsidR="00523958">
        <w:t xml:space="preserve"> sind in der Regel fragmentiert</w:t>
      </w:r>
      <w:r w:rsidR="001A0956">
        <w:t xml:space="preserve"> und umfassen lange Zeiträume sowie </w:t>
      </w:r>
      <w:r w:rsidR="00704BDB">
        <w:t>mittlerweile ungültige Nebenbestimmungen</w:t>
      </w:r>
      <w:r>
        <w:t xml:space="preserve"> </w:t>
      </w:r>
      <w:r w:rsidR="002C37C5">
        <w:t>–</w:t>
      </w:r>
      <w:r>
        <w:t xml:space="preserve"> </w:t>
      </w:r>
      <w:r w:rsidR="002C37C5">
        <w:t>konsolidierte Fassungen liegen in der Regel nicht vor</w:t>
      </w:r>
      <w:r w:rsidR="001A790D">
        <w:t xml:space="preserve">. </w:t>
      </w:r>
      <w:r w:rsidR="00D35602">
        <w:t>Zusätzlich konzentrieren</w:t>
      </w:r>
      <w:r>
        <w:t xml:space="preserve"> die Genehmigung</w:t>
      </w:r>
      <w:r w:rsidR="008C170E">
        <w:t>en</w:t>
      </w:r>
      <w:r>
        <w:t xml:space="preserve"> nach § 13 BImSchG auch sehr viele andere Genehmigungen oder sonstige Zulassungen, </w:t>
      </w:r>
      <w:r w:rsidR="0004599A">
        <w:t>sodass</w:t>
      </w:r>
      <w:r>
        <w:t xml:space="preserve"> </w:t>
      </w:r>
      <w:r w:rsidR="00113413">
        <w:t xml:space="preserve">durch diese pauschale Formulierung </w:t>
      </w:r>
      <w:r>
        <w:t>auch Nebenbestimmungen</w:t>
      </w:r>
      <w:r w:rsidR="00A32754">
        <w:t xml:space="preserve"> erfasst</w:t>
      </w:r>
      <w:r w:rsidR="0004599A">
        <w:t xml:space="preserve"> werden</w:t>
      </w:r>
      <w:r>
        <w:t xml:space="preserve">, die </w:t>
      </w:r>
      <w:r w:rsidR="00A32754">
        <w:t>nicht im</w:t>
      </w:r>
      <w:r>
        <w:t xml:space="preserve"> Anwendungsbereich der IED </w:t>
      </w:r>
      <w:r w:rsidR="00A32754">
        <w:t>liegen</w:t>
      </w:r>
      <w:r>
        <w:t>.</w:t>
      </w:r>
      <w:r w:rsidR="00B6370F" w:rsidRPr="00B6370F">
        <w:t xml:space="preserve"> </w:t>
      </w:r>
    </w:p>
    <w:p w14:paraId="0AB0E999" w14:textId="7D445BB8" w:rsidR="00B6370F" w:rsidRDefault="00B6370F" w:rsidP="00B6370F">
      <w:r>
        <w:t xml:space="preserve">Die Erstellung einer konsolidierten Fassung ohne konkreten Bedarf stellt insofern eine unbegründeten zusätzlichen Bürokratieaufwand </w:t>
      </w:r>
      <w:r w:rsidR="007C19D3">
        <w:t>(</w:t>
      </w:r>
      <w:r w:rsidR="005411D7">
        <w:t xml:space="preserve">sowohl </w:t>
      </w:r>
      <w:r>
        <w:t>für</w:t>
      </w:r>
      <w:r w:rsidR="005411D7">
        <w:t xml:space="preserve"> Behörden als auch für</w:t>
      </w:r>
      <w:r>
        <w:t xml:space="preserve"> die Wirtschaft</w:t>
      </w:r>
      <w:r w:rsidR="007C19D3">
        <w:t>)</w:t>
      </w:r>
      <w:r>
        <w:t xml:space="preserve"> dar. </w:t>
      </w:r>
    </w:p>
    <w:p w14:paraId="17EC23A5" w14:textId="79000FE7" w:rsidR="00C57209" w:rsidRPr="00B9789F" w:rsidRDefault="008771CF" w:rsidP="008E3457">
      <w:r>
        <w:t>Zur</w:t>
      </w:r>
      <w:r w:rsidR="008E3457">
        <w:t xml:space="preserve"> Vermeidung von Vollzugsdefiziten </w:t>
      </w:r>
      <w:r w:rsidR="00B75E2D">
        <w:t xml:space="preserve">sollten </w:t>
      </w:r>
      <w:r w:rsidR="008E3457">
        <w:t>nur die in Art. 24 Abs. 2a der IED enthaltene Vorgabe umgesetzt werden</w:t>
      </w:r>
      <w:r w:rsidR="007622E4">
        <w:t>,</w:t>
      </w:r>
      <w:r w:rsidR="00751D8B">
        <w:t xml:space="preserve"> </w:t>
      </w:r>
      <w:r w:rsidR="007622E4">
        <w:t>n</w:t>
      </w:r>
      <w:r w:rsidR="00751D8B">
        <w:t>ämlich</w:t>
      </w:r>
      <w:r w:rsidR="007622E4">
        <w:t xml:space="preserve"> </w:t>
      </w:r>
      <w:r w:rsidR="00C70C1C" w:rsidRPr="00C70C1C">
        <w:t>dass sich eine Veröffentlichungspflicht nur auf ausdrücklich von der Behörde konsolidierte Genehmigungsauflagen beziehen darf und dies auch nur auf solche, die den Regelungsgegenstand der IED betreffen</w:t>
      </w:r>
      <w:r w:rsidR="00C70C1C">
        <w:t>. Zudem muss</w:t>
      </w:r>
      <w:r w:rsidR="008E3457">
        <w:t xml:space="preserve"> klargestellt werden, dass dies primär eine Behördenpflicht ist. </w:t>
      </w:r>
    </w:p>
    <w:p w14:paraId="44B4056B" w14:textId="77777777" w:rsidR="00C57209" w:rsidRPr="00B9789F" w:rsidRDefault="00C57209" w:rsidP="003C7ABE"/>
    <w:p w14:paraId="513E2A2B" w14:textId="15B941B2" w:rsidR="00C57209" w:rsidRPr="00B9789F" w:rsidRDefault="001B1407" w:rsidP="00F44928">
      <w:pPr>
        <w:pStyle w:val="berschrift2"/>
      </w:pPr>
      <w:bookmarkStart w:id="13" w:name="_Toc187825532"/>
      <w:r>
        <w:t>Anpassung an EU-Vorgaben</w:t>
      </w:r>
      <w:r w:rsidR="00F8410A">
        <w:t xml:space="preserve">, sodass </w:t>
      </w:r>
      <w:r w:rsidR="008676A9">
        <w:t xml:space="preserve">keine </w:t>
      </w:r>
      <w:r w:rsidR="00AA12A6" w:rsidRPr="00AA12A6">
        <w:t xml:space="preserve">unmittelbare Anwendung </w:t>
      </w:r>
      <w:r w:rsidR="008676A9">
        <w:t>der Anforderungen</w:t>
      </w:r>
      <w:r w:rsidR="00AA12A6" w:rsidRPr="00AA12A6">
        <w:t xml:space="preserve"> auf bestehende Anlagen</w:t>
      </w:r>
      <w:r w:rsidR="008676A9">
        <w:t xml:space="preserve"> resultiert</w:t>
      </w:r>
      <w:r w:rsidR="00A900D3">
        <w:t xml:space="preserve"> (</w:t>
      </w:r>
      <w:r w:rsidR="00A900D3" w:rsidRPr="00AA12A6">
        <w:t>§ 12 Abs. 1a</w:t>
      </w:r>
      <w:r w:rsidR="00A900D3">
        <w:t>)</w:t>
      </w:r>
      <w:bookmarkEnd w:id="13"/>
    </w:p>
    <w:p w14:paraId="50970E7A" w14:textId="7DD86157" w:rsidR="003F73B5" w:rsidRDefault="00671CF5" w:rsidP="003C7ABE">
      <w:r>
        <w:t>In der vorliegenden Entwur</w:t>
      </w:r>
      <w:r w:rsidR="00916C19">
        <w:t>fsfassung</w:t>
      </w:r>
      <w:r w:rsidR="007E687E">
        <w:t xml:space="preserve"> fehlt die notwendige Differenzierung </w:t>
      </w:r>
      <w:r w:rsidR="004268AB">
        <w:t xml:space="preserve">zwischen bestehenden Anlagen und neuen Anlagen, für die gemäß IED </w:t>
      </w:r>
      <w:r w:rsidR="00032F1F">
        <w:t>und im Sinne einer 1:1</w:t>
      </w:r>
      <w:r w:rsidR="0003316B">
        <w:t>-</w:t>
      </w:r>
      <w:r w:rsidR="00032F1F">
        <w:t xml:space="preserve">Umsetzung </w:t>
      </w:r>
      <w:r w:rsidR="004268AB">
        <w:t xml:space="preserve">unterschiedliche Fristen </w:t>
      </w:r>
      <w:r w:rsidR="003F73B5">
        <w:t>für die Umsetzung gelten.</w:t>
      </w:r>
    </w:p>
    <w:p w14:paraId="48629255" w14:textId="46097BB5" w:rsidR="0020754A" w:rsidRDefault="00754244" w:rsidP="003C7ABE">
      <w:r>
        <w:lastRenderedPageBreak/>
        <w:t>Für bestehende Anlagen setzt die IED ein</w:t>
      </w:r>
      <w:r w:rsidR="00C00041">
        <w:t>e</w:t>
      </w:r>
      <w:r w:rsidR="00D37DCF">
        <w:t xml:space="preserve"> Frist von vier Jahren</w:t>
      </w:r>
      <w:r w:rsidR="00C00041">
        <w:t xml:space="preserve"> (vgl. </w:t>
      </w:r>
      <w:r w:rsidR="006E20DC">
        <w:t xml:space="preserve">IED </w:t>
      </w:r>
      <w:r w:rsidR="00E046C3">
        <w:t>Art. 3 Abs</w:t>
      </w:r>
      <w:r w:rsidR="006E20DC">
        <w:t>. 1)</w:t>
      </w:r>
      <w:r w:rsidR="00D37DCF">
        <w:t xml:space="preserve"> nach der Veröffentlichung </w:t>
      </w:r>
      <w:r w:rsidR="001A4041">
        <w:t>von Entscheidungen über die BVT-Schlussfolgerungen</w:t>
      </w:r>
      <w:r w:rsidR="00385E39">
        <w:t xml:space="preserve">. </w:t>
      </w:r>
    </w:p>
    <w:p w14:paraId="2BFC0894" w14:textId="7C053BB1" w:rsidR="00715A25" w:rsidRDefault="0062724A" w:rsidP="003C7ABE">
      <w:r>
        <w:t xml:space="preserve">ITAD bittet eindringlich, </w:t>
      </w:r>
      <w:r w:rsidR="00B46474">
        <w:t xml:space="preserve">diesen Sachverhalt klarzustellen und den europarechtlichen Spielraum für bestehende Anlagen </w:t>
      </w:r>
      <w:r w:rsidR="003D375E">
        <w:t>eindeutig gesetzlich zu verankern.</w:t>
      </w:r>
    </w:p>
    <w:p w14:paraId="2B11C4FD" w14:textId="77777777" w:rsidR="004E160D" w:rsidRDefault="004E160D" w:rsidP="003C7ABE"/>
    <w:p w14:paraId="2E6A46FC" w14:textId="4C12B4EA" w:rsidR="004E160D" w:rsidRDefault="00FF4EB8" w:rsidP="00F44928">
      <w:pPr>
        <w:pStyle w:val="berschrift2"/>
      </w:pPr>
      <w:bookmarkStart w:id="14" w:name="_Toc187825533"/>
      <w:r>
        <w:t xml:space="preserve">Ergänzung, dass </w:t>
      </w:r>
      <w:r w:rsidR="00B244B3">
        <w:t xml:space="preserve">ein </w:t>
      </w:r>
      <w:r w:rsidR="00A92F69">
        <w:t>Schadensersatzanspr</w:t>
      </w:r>
      <w:r w:rsidR="00FF1704">
        <w:t xml:space="preserve">uch </w:t>
      </w:r>
      <w:r w:rsidR="00791246">
        <w:t>nur durch</w:t>
      </w:r>
      <w:r w:rsidR="00FF1704">
        <w:t xml:space="preserve"> schuldhafte Verstöße</w:t>
      </w:r>
      <w:r w:rsidR="00791246">
        <w:t xml:space="preserve"> begründet ist</w:t>
      </w:r>
      <w:r w:rsidR="00BA41E0">
        <w:t xml:space="preserve"> (</w:t>
      </w:r>
      <w:r w:rsidR="00990F63">
        <w:t>§ 14a)</w:t>
      </w:r>
      <w:bookmarkEnd w:id="14"/>
    </w:p>
    <w:p w14:paraId="56BF90B2" w14:textId="210D74FA" w:rsidR="009D286D" w:rsidRDefault="00027D91" w:rsidP="003C7ABE">
      <w:r>
        <w:t xml:space="preserve">Im vorliegenden Gesetzesentwurf wird lediglich auf </w:t>
      </w:r>
      <w:r w:rsidR="005704E0">
        <w:t xml:space="preserve">Verstöße </w:t>
      </w:r>
      <w:r w:rsidR="00DA62B3">
        <w:t xml:space="preserve">gegen </w:t>
      </w:r>
      <w:r w:rsidR="00160A9F" w:rsidRPr="00160A9F">
        <w:t>§ 5 Absatz 1 Nummer 1 und 2, Absatz 3 und 4</w:t>
      </w:r>
      <w:r w:rsidR="00160A9F">
        <w:t xml:space="preserve"> verwiesen</w:t>
      </w:r>
      <w:r w:rsidR="004118E2">
        <w:t xml:space="preserve">, </w:t>
      </w:r>
      <w:r w:rsidR="00B533A4">
        <w:t>dies jedoch nicht im Zusammenhang mit einer Schuld des Betreibers.</w:t>
      </w:r>
      <w:r w:rsidR="0071777E">
        <w:t xml:space="preserve"> </w:t>
      </w:r>
      <w:r w:rsidR="00F71AB7">
        <w:t xml:space="preserve">Ein solcher Verstoß </w:t>
      </w:r>
      <w:r w:rsidR="00DD0EB4">
        <w:t>kann</w:t>
      </w:r>
      <w:r w:rsidR="00F71AB7">
        <w:t xml:space="preserve"> jedoch nicht zwingend </w:t>
      </w:r>
      <w:r w:rsidR="00DD0EB4">
        <w:t xml:space="preserve">nur durch Verschulden des Betreibers </w:t>
      </w:r>
      <w:r w:rsidR="003B1B09">
        <w:t xml:space="preserve">vorkommen. Ein Verschulden ist nach deutscher </w:t>
      </w:r>
      <w:r w:rsidR="00C83D31">
        <w:t>Gesetzeslage jedoch die Voraussetzung für einen Schadensersatz</w:t>
      </w:r>
      <w:r w:rsidR="00F27341">
        <w:t xml:space="preserve"> (vgl. § 823 Abs. </w:t>
      </w:r>
      <w:r w:rsidR="00D74B54">
        <w:t>2</w:t>
      </w:r>
      <w:r w:rsidR="00666D24">
        <w:t xml:space="preserve"> BGB</w:t>
      </w:r>
      <w:r w:rsidR="00BB7EDE">
        <w:t>)</w:t>
      </w:r>
      <w:r w:rsidR="00C0715F">
        <w:t>:</w:t>
      </w:r>
    </w:p>
    <w:p w14:paraId="09C2A40C" w14:textId="73E3C654" w:rsidR="00C0715F" w:rsidRPr="00C0715F" w:rsidRDefault="00C0715F" w:rsidP="003C7ABE">
      <w:pPr>
        <w:rPr>
          <w:i/>
          <w:iCs/>
        </w:rPr>
      </w:pPr>
      <w:r w:rsidRPr="00C0715F">
        <w:rPr>
          <w:i/>
          <w:iCs/>
        </w:rPr>
        <w:t xml:space="preserve">Die gleiche Verpflichtung trifft denjenigen, welcher gegen ein den Schutz </w:t>
      </w:r>
      <w:proofErr w:type="gramStart"/>
      <w:r w:rsidRPr="00C0715F">
        <w:rPr>
          <w:i/>
          <w:iCs/>
        </w:rPr>
        <w:t>eines anderen bezweckendes Gesetz</w:t>
      </w:r>
      <w:proofErr w:type="gramEnd"/>
      <w:r w:rsidRPr="00C0715F">
        <w:rPr>
          <w:i/>
          <w:iCs/>
        </w:rPr>
        <w:t xml:space="preserve"> verstößt. Ist nach dem Inhalt des Gesetzes ein Verstoß gegen dieses auch ohne Verschulden möglich, so tritt die Ersatzpflicht nur im Falle des Verschuldens ein.</w:t>
      </w:r>
    </w:p>
    <w:p w14:paraId="427EE296" w14:textId="3A2C2EF8" w:rsidR="00FF1704" w:rsidRDefault="00A67AA8" w:rsidP="003C7ABE">
      <w:r>
        <w:t xml:space="preserve">ITAD schlägt vor, </w:t>
      </w:r>
      <w:r w:rsidR="00C947AC">
        <w:t xml:space="preserve">§ 823 Abs. 2 Satz </w:t>
      </w:r>
      <w:r w:rsidR="00FD51CD">
        <w:t xml:space="preserve">2 </w:t>
      </w:r>
      <w:r w:rsidR="00C947AC">
        <w:t>BGB</w:t>
      </w:r>
      <w:r w:rsidR="00FD51CD">
        <w:t xml:space="preserve"> zum Entwurf des </w:t>
      </w:r>
      <w:r w:rsidR="00BD4A00">
        <w:t>§ 14a hinzuzufügen</w:t>
      </w:r>
      <w:r w:rsidR="00FD51CD">
        <w:t>.</w:t>
      </w:r>
    </w:p>
    <w:p w14:paraId="3E96B0CC" w14:textId="77777777" w:rsidR="00FF1704" w:rsidRDefault="00FF1704" w:rsidP="003C7ABE"/>
    <w:p w14:paraId="381F6AB0" w14:textId="36E2C99F" w:rsidR="00FF1704" w:rsidRDefault="002A0479" w:rsidP="00F44928">
      <w:pPr>
        <w:pStyle w:val="berschrift2"/>
      </w:pPr>
      <w:bookmarkStart w:id="15" w:name="_Toc187825534"/>
      <w:r>
        <w:t xml:space="preserve">Erweiterung der Ausnahmeregelungen </w:t>
      </w:r>
      <w:r w:rsidR="0024326C">
        <w:t xml:space="preserve">für </w:t>
      </w:r>
      <w:r w:rsidR="00CC7B47">
        <w:t>Gasmangellage</w:t>
      </w:r>
      <w:r w:rsidR="0024326C">
        <w:t>n</w:t>
      </w:r>
      <w:r w:rsidR="00017D41">
        <w:t xml:space="preserve"> (zusätzlich zu </w:t>
      </w:r>
      <w:r w:rsidR="003E6D66">
        <w:t>§ 31a und § 32a)</w:t>
      </w:r>
      <w:bookmarkEnd w:id="15"/>
    </w:p>
    <w:p w14:paraId="1F80F6DA" w14:textId="3F273907" w:rsidR="00162798" w:rsidRDefault="00A44FAA" w:rsidP="003C7ABE">
      <w:r>
        <w:t>§ 31a und §</w:t>
      </w:r>
      <w:r w:rsidR="003E6D66">
        <w:t xml:space="preserve"> </w:t>
      </w:r>
      <w:r>
        <w:t xml:space="preserve">32a treffen Ausnahmeregelungen für die zeitweise </w:t>
      </w:r>
      <w:r w:rsidR="003B3D1C">
        <w:t>Abweichung von</w:t>
      </w:r>
      <w:r>
        <w:t xml:space="preserve"> Emissions</w:t>
      </w:r>
      <w:r w:rsidR="000D060E">
        <w:t>grenzwerten im Falle einer Gasmangellage</w:t>
      </w:r>
      <w:r w:rsidR="00226E8E">
        <w:t>.</w:t>
      </w:r>
    </w:p>
    <w:p w14:paraId="0BBB9B47" w14:textId="4E00FF1D" w:rsidR="001824B7" w:rsidRDefault="001824B7" w:rsidP="003C7ABE">
      <w:r>
        <w:t xml:space="preserve">Die Erfahrungen mit der Gasmangellage </w:t>
      </w:r>
      <w:r w:rsidR="00E1282E">
        <w:t xml:space="preserve">im Zusammenhang mit dem Ukrainekrieg haben gezeigt, dass durch </w:t>
      </w:r>
      <w:r w:rsidR="00581FCA">
        <w:t xml:space="preserve">eine Gasmangellage ebenfalls die Produktion und Verfügbarkeit von Reduktionsmitteln für </w:t>
      </w:r>
      <w:r w:rsidR="00F860C5">
        <w:t>die Reduktion von Stickoxiden (</w:t>
      </w:r>
      <w:proofErr w:type="spellStart"/>
      <w:r w:rsidR="00DF34B5">
        <w:t>i.W</w:t>
      </w:r>
      <w:proofErr w:type="spellEnd"/>
      <w:r w:rsidR="00DF34B5">
        <w:t>. Harnstoff und Ammoniakwasser)</w:t>
      </w:r>
      <w:r w:rsidR="00384E5B">
        <w:t xml:space="preserve"> </w:t>
      </w:r>
      <w:r w:rsidR="00C9762A">
        <w:t xml:space="preserve">direkt </w:t>
      </w:r>
      <w:r w:rsidR="003A24BD">
        <w:t>betroffen</w:t>
      </w:r>
      <w:r w:rsidR="00384E5B">
        <w:t xml:space="preserve"> ist.</w:t>
      </w:r>
      <w:r w:rsidR="006A4025">
        <w:t xml:space="preserve"> Bei einer Unterversorgung von TAB mit diesen Reduktionsmitteln </w:t>
      </w:r>
      <w:r w:rsidR="00136835">
        <w:t>kann die Einhaltung der Grenzwerte für den Parameter „</w:t>
      </w:r>
      <w:proofErr w:type="spellStart"/>
      <w:r w:rsidR="00136835">
        <w:t>NOx</w:t>
      </w:r>
      <w:proofErr w:type="spellEnd"/>
      <w:r w:rsidR="00136835">
        <w:t>“ in vielen Fällen nicht sichergestellt werden</w:t>
      </w:r>
      <w:r w:rsidR="007C16BF">
        <w:t xml:space="preserve">, sodass ein Weiterbetrieb innerhalb der Genehmigung </w:t>
      </w:r>
      <w:r w:rsidR="004D48FD">
        <w:t>nicht möglich ist.</w:t>
      </w:r>
    </w:p>
    <w:p w14:paraId="21911BA0" w14:textId="03D7C05A" w:rsidR="00384E5B" w:rsidRDefault="00D62CF0" w:rsidP="003C7ABE">
      <w:r>
        <w:t>Weiterhin haben diese Erfahrungen gezeigt, dass es für diesen Fall keine klaren Regelungen gibt und im Ernstfall ein</w:t>
      </w:r>
      <w:r w:rsidR="002C43D8">
        <w:t xml:space="preserve"> (verkürztes) Genehmigungsverfahren nach BImSchG hätte durchlaufen werden müssen. </w:t>
      </w:r>
      <w:r w:rsidR="00217D38">
        <w:t xml:space="preserve">Dieses beinhaltet auch </w:t>
      </w:r>
      <w:r w:rsidR="00C916A2">
        <w:t xml:space="preserve">die </w:t>
      </w:r>
      <w:r w:rsidR="00A52490">
        <w:t xml:space="preserve">Beurteilung der </w:t>
      </w:r>
      <w:r w:rsidR="00C916A2">
        <w:t xml:space="preserve">Auswirkungen </w:t>
      </w:r>
      <w:r w:rsidR="00A52490">
        <w:t xml:space="preserve">auf die Immissionen </w:t>
      </w:r>
      <w:r w:rsidR="00C916A2">
        <w:t>(</w:t>
      </w:r>
      <w:r w:rsidR="002343C8">
        <w:t xml:space="preserve">z.B. </w:t>
      </w:r>
      <w:r w:rsidR="00C916A2">
        <w:t>Nachweis durch Ausbreitungsrechnungen)</w:t>
      </w:r>
      <w:r w:rsidR="007525EF">
        <w:t xml:space="preserve">. </w:t>
      </w:r>
      <w:r w:rsidR="00245728">
        <w:t xml:space="preserve">Dies kann ein </w:t>
      </w:r>
      <w:r w:rsidR="00245728">
        <w:lastRenderedPageBreak/>
        <w:t>langwie</w:t>
      </w:r>
      <w:r w:rsidR="000C4CD5">
        <w:t xml:space="preserve">riger </w:t>
      </w:r>
      <w:r w:rsidR="00245728">
        <w:t>Prozess</w:t>
      </w:r>
      <w:r w:rsidR="000C4CD5">
        <w:t xml:space="preserve"> sein, der im </w:t>
      </w:r>
      <w:r w:rsidR="00245728">
        <w:t>akuten Fall</w:t>
      </w:r>
      <w:r w:rsidR="000C4CD5">
        <w:t xml:space="preserve"> </w:t>
      </w:r>
      <w:r w:rsidR="00C37240">
        <w:t xml:space="preserve">kaum rechtzeitig zu bewältigen ist. </w:t>
      </w:r>
    </w:p>
    <w:p w14:paraId="25025C45" w14:textId="5A21A20F" w:rsidR="00F52E52" w:rsidRDefault="00F52E52" w:rsidP="003C7ABE">
      <w:r>
        <w:t>In diesem Zusammenhang möchten wir ebenfalls darauf hinweisen, dass mittlerweile fast alle deutschen TAB</w:t>
      </w:r>
      <w:r w:rsidR="00D37CBF">
        <w:t xml:space="preserve"> aufgrund ihrer Bedeutung für das Funktionieren des Gemeinwohls</w:t>
      </w:r>
      <w:r>
        <w:t xml:space="preserve"> zur kritischen Infrastruktur zählen</w:t>
      </w:r>
      <w:r w:rsidR="00D37CBF">
        <w:t xml:space="preserve">. </w:t>
      </w:r>
      <w:r w:rsidR="003D13CF">
        <w:t>Gleichwohl gibt es für den oben beschriebenen Fall</w:t>
      </w:r>
      <w:r w:rsidR="00A10BC9">
        <w:t xml:space="preserve"> keine gesetzlichen Regelungen für KRITIS Anlagen</w:t>
      </w:r>
      <w:r w:rsidR="00584F05">
        <w:t>, die sicherstellen, dass</w:t>
      </w:r>
      <w:r w:rsidR="0031692F">
        <w:t xml:space="preserve"> </w:t>
      </w:r>
      <w:r w:rsidR="00584F05">
        <w:t xml:space="preserve">bestimmte Produkte für den Weiterbetrieb der </w:t>
      </w:r>
      <w:r w:rsidR="005B3C2C">
        <w:t xml:space="preserve">KRITIS </w:t>
      </w:r>
      <w:r w:rsidR="00584F05">
        <w:t xml:space="preserve">Anlagen </w:t>
      </w:r>
      <w:r w:rsidR="0031692F">
        <w:t xml:space="preserve">bevorzugt </w:t>
      </w:r>
      <w:r w:rsidR="006926BF">
        <w:t>verfügbar</w:t>
      </w:r>
      <w:r w:rsidR="005B3C2C">
        <w:t xml:space="preserve"> sind.</w:t>
      </w:r>
    </w:p>
    <w:p w14:paraId="24618EA7" w14:textId="608A119A" w:rsidR="00587B46" w:rsidRDefault="00587B46" w:rsidP="003C7ABE">
      <w:r>
        <w:t xml:space="preserve">ITAD regt daher an, in Bezug auf die Gasmangellage </w:t>
      </w:r>
      <w:r w:rsidR="00307D60">
        <w:t xml:space="preserve">nicht nur den Brennstoff an sich, sondern auch </w:t>
      </w:r>
      <w:r w:rsidR="009A6280">
        <w:t xml:space="preserve">die wichtigen Koppelprodukte </w:t>
      </w:r>
      <w:r w:rsidR="00C668BD">
        <w:t xml:space="preserve">von Gas </w:t>
      </w:r>
      <w:r w:rsidR="009F1957">
        <w:t xml:space="preserve">bzw. auf Gas basierende Produkte </w:t>
      </w:r>
      <w:r w:rsidR="009A6280">
        <w:t>für die Emissionsminderung zu berücksichtigen</w:t>
      </w:r>
      <w:r w:rsidR="00F81865">
        <w:t xml:space="preserve"> und entsprechende, </w:t>
      </w:r>
      <w:r w:rsidR="006E678E">
        <w:t>zu §</w:t>
      </w:r>
      <w:r w:rsidR="009A384B">
        <w:t xml:space="preserve"> </w:t>
      </w:r>
      <w:r w:rsidR="006E678E">
        <w:t xml:space="preserve">31a und </w:t>
      </w:r>
      <w:r w:rsidR="009A384B">
        <w:t xml:space="preserve">§31 b sinngemäß </w:t>
      </w:r>
      <w:r w:rsidR="00F81865">
        <w:t xml:space="preserve">gleichlautende Ausnahmeregelungen </w:t>
      </w:r>
      <w:r w:rsidR="003F1EBA">
        <w:t>für die zeitweise Überschreitung von</w:t>
      </w:r>
      <w:r w:rsidR="006E678E">
        <w:t xml:space="preserve"> Emission</w:t>
      </w:r>
      <w:r w:rsidR="009A384B">
        <w:t>s</w:t>
      </w:r>
      <w:r w:rsidR="006E678E">
        <w:t xml:space="preserve">grenzwerten </w:t>
      </w:r>
      <w:r w:rsidR="009A384B">
        <w:t>zu schaffen.</w:t>
      </w:r>
    </w:p>
    <w:p w14:paraId="2A5ACDB0" w14:textId="77777777" w:rsidR="00C71000" w:rsidRDefault="00C71000" w:rsidP="00C71000">
      <w:commentRangeStart w:id="16"/>
      <w:r>
        <w:t>Art. 15 Abs. 7 IED legt Ausnahmebestimmungen für bestimmte „Krisenfälle“ fest (z. B Störung der Energieversorgung oder Ressourcenmangel). Diese Ausnahmeregelungen fehlen bisher im Gesetz-entwurf und sollten ergänzt werden.</w:t>
      </w:r>
    </w:p>
    <w:p w14:paraId="4CFCEDC1" w14:textId="789195B4" w:rsidR="006D7476" w:rsidRDefault="00C71000" w:rsidP="00C71000">
      <w:r>
        <w:t>Die Ausnahmetatbestände für den Krisenfall sollten auch in den folgenden Regelungen ergänzt wer-den: § 12 Abs. 1b), § 17 Abs. 2b) und § 48 Abs. 1b).</w:t>
      </w:r>
      <w:commentRangeEnd w:id="16"/>
      <w:r>
        <w:rPr>
          <w:rStyle w:val="Kommentarzeichen"/>
        </w:rPr>
        <w:commentReference w:id="16"/>
      </w:r>
    </w:p>
    <w:p w14:paraId="2AC8FCBB" w14:textId="1EC51FE8" w:rsidR="00BA540F" w:rsidRDefault="00BA540F">
      <w:pPr>
        <w:jc w:val="left"/>
      </w:pPr>
    </w:p>
    <w:p w14:paraId="0750A41B" w14:textId="2470121F" w:rsidR="00C57209" w:rsidRDefault="00D8292B" w:rsidP="00F44928">
      <w:pPr>
        <w:pStyle w:val="berschrift1"/>
      </w:pPr>
      <w:bookmarkStart w:id="17" w:name="_Toc187825535"/>
      <w:r>
        <w:t>Mantelverordnung</w:t>
      </w:r>
      <w:bookmarkEnd w:id="17"/>
    </w:p>
    <w:p w14:paraId="012FD925" w14:textId="163CF53D" w:rsidR="00093F78" w:rsidRDefault="00DF2BB4" w:rsidP="00F44928">
      <w:pPr>
        <w:pStyle w:val="berschrift2"/>
      </w:pPr>
      <w:bookmarkStart w:id="18" w:name="_Toc187825536"/>
      <w:r>
        <w:t>Streichung 11. BImSchV</w:t>
      </w:r>
      <w:bookmarkEnd w:id="18"/>
    </w:p>
    <w:p w14:paraId="3052BA05" w14:textId="70503BD8" w:rsidR="004E0304" w:rsidRPr="004822D1" w:rsidRDefault="0084207D" w:rsidP="007C58A2">
      <w:r>
        <w:t xml:space="preserve">ITAD </w:t>
      </w:r>
      <w:r w:rsidR="006861FE">
        <w:t xml:space="preserve">teilt die diesbezügliche Auffassung des BDI und VCI und </w:t>
      </w:r>
      <w:r>
        <w:t>regt an</w:t>
      </w:r>
      <w:r w:rsidR="004E0304" w:rsidRPr="004822D1">
        <w:t xml:space="preserve">, die 11. </w:t>
      </w:r>
      <w:r w:rsidR="003A5F12">
        <w:t>BImSchV</w:t>
      </w:r>
      <w:r w:rsidR="004E0304" w:rsidRPr="004822D1">
        <w:t xml:space="preserve">. </w:t>
      </w:r>
      <w:r w:rsidR="00217ADE">
        <w:t>i</w:t>
      </w:r>
      <w:r w:rsidR="004E0304" w:rsidRPr="004822D1">
        <w:t xml:space="preserve">n Anbetracht der aktuellen Entwicklungen und der bevorstehenden Einführung des IEP (Industrial Emission Portal) </w:t>
      </w:r>
      <w:r w:rsidR="00217ADE" w:rsidRPr="004822D1">
        <w:t>zeitnah zu streichen</w:t>
      </w:r>
      <w:r w:rsidR="007075A1">
        <w:t>.</w:t>
      </w:r>
    </w:p>
    <w:p w14:paraId="70B722F6" w14:textId="34EEBC68" w:rsidR="004E0304" w:rsidRPr="004822D1" w:rsidRDefault="004E0304" w:rsidP="007C58A2">
      <w:r w:rsidRPr="004822D1">
        <w:t xml:space="preserve">Das IEP wird die Regelungen und Maßnahmen, die in der 11. </w:t>
      </w:r>
      <w:r w:rsidR="00AC5A20">
        <w:t>BImSchV</w:t>
      </w:r>
      <w:r w:rsidRPr="004822D1">
        <w:t xml:space="preserve"> festgelegt sind, umfassend ersetzen und verbessern. Daher erscheint </w:t>
      </w:r>
      <w:r w:rsidR="00BB0B51">
        <w:t xml:space="preserve">eine Streichung als sinnvoller Beitrag zur Verringerung der </w:t>
      </w:r>
      <w:r w:rsidR="004A7966">
        <w:t xml:space="preserve">Berichtspflichten und Vermeidung </w:t>
      </w:r>
      <w:r w:rsidR="00B6246B">
        <w:t xml:space="preserve">von </w:t>
      </w:r>
      <w:r w:rsidRPr="004822D1">
        <w:t>Doppelregelungen</w:t>
      </w:r>
      <w:r w:rsidR="00B6246B">
        <w:t>.</w:t>
      </w:r>
    </w:p>
    <w:p w14:paraId="3FD415A8" w14:textId="77777777" w:rsidR="001B3408" w:rsidRPr="00093F78" w:rsidRDefault="001B3408" w:rsidP="007C58A2"/>
    <w:p w14:paraId="112DDAB6" w14:textId="3816D7D3" w:rsidR="00C57209" w:rsidRPr="00B9789F" w:rsidRDefault="002E4AA3" w:rsidP="00F44928">
      <w:pPr>
        <w:pStyle w:val="berschrift2"/>
      </w:pPr>
      <w:bookmarkStart w:id="19" w:name="_Toc187825537"/>
      <w:r w:rsidRPr="00BA540F">
        <w:t>Emissionsminderung im An-</w:t>
      </w:r>
      <w:r>
        <w:t xml:space="preserve"> </w:t>
      </w:r>
      <w:r w:rsidRPr="00BA540F">
        <w:t xml:space="preserve">und Abfahrbetrieb </w:t>
      </w:r>
      <w:r>
        <w:t>(</w:t>
      </w:r>
      <w:r w:rsidR="00BA540F" w:rsidRPr="00BA540F">
        <w:t>§ 20 a Abs. 4 der 17. BImSchV</w:t>
      </w:r>
      <w:r>
        <w:t>)</w:t>
      </w:r>
      <w:bookmarkEnd w:id="19"/>
    </w:p>
    <w:p w14:paraId="42B33192" w14:textId="77777777" w:rsidR="0032689E" w:rsidRDefault="00FF0969" w:rsidP="003C7ABE">
      <w:r w:rsidRPr="00FF0969">
        <w:t xml:space="preserve">Die </w:t>
      </w:r>
      <w:r w:rsidR="00474EAE">
        <w:t xml:space="preserve">im vorliegenden Entwurf </w:t>
      </w:r>
      <w:r w:rsidR="001A7A57">
        <w:t xml:space="preserve">getroffene </w:t>
      </w:r>
      <w:r w:rsidRPr="00FF0969">
        <w:t>Regelung zur Emissionsminderung im An-</w:t>
      </w:r>
      <w:r w:rsidR="009C0D75">
        <w:t xml:space="preserve"> </w:t>
      </w:r>
      <w:r w:rsidRPr="00FF0969">
        <w:t xml:space="preserve">und Abfahrbetrieb für PCDD/F und PCB </w:t>
      </w:r>
      <w:r w:rsidR="001A7A57">
        <w:t xml:space="preserve">muss </w:t>
      </w:r>
      <w:r w:rsidR="00B54261">
        <w:t>aus unserer Sicht geändert werden</w:t>
      </w:r>
      <w:r w:rsidR="00C51797">
        <w:t>.</w:t>
      </w:r>
      <w:r w:rsidR="00503AAB">
        <w:t xml:space="preserve"> </w:t>
      </w:r>
      <w:r w:rsidR="0032689E" w:rsidRPr="0032689E">
        <w:t>Der Verweis auf den Stand der Technik führt zu der Frage, welche Techniken darunter zu verstehen sind.</w:t>
      </w:r>
    </w:p>
    <w:p w14:paraId="6451FABC" w14:textId="7CC85FC5" w:rsidR="00C57209" w:rsidRPr="00B9789F" w:rsidRDefault="00465FF3" w:rsidP="003C7ABE">
      <w:r>
        <w:lastRenderedPageBreak/>
        <w:t xml:space="preserve">Stattdessen sollte </w:t>
      </w:r>
      <w:r w:rsidR="00FF0969" w:rsidRPr="00FF0969">
        <w:t>der Grundsatz der Verhältnismäßigkeit betont werden</w:t>
      </w:r>
      <w:r w:rsidR="003D682A">
        <w:t xml:space="preserve">. </w:t>
      </w:r>
      <w:r w:rsidR="00B32E9F">
        <w:t xml:space="preserve">Den folgenden Änderungsvorschlag des VCI halten wir für </w:t>
      </w:r>
      <w:r w:rsidR="00C7161C">
        <w:t xml:space="preserve">sinnvoll und schlagen entsprechend </w:t>
      </w:r>
      <w:r w:rsidR="00291961">
        <w:t xml:space="preserve">ebenfalls </w:t>
      </w:r>
      <w:r w:rsidR="00C7161C">
        <w:t xml:space="preserve">die Änderung </w:t>
      </w:r>
      <w:r w:rsidR="00291961">
        <w:t>in folgenden Wortlaut vor</w:t>
      </w:r>
      <w:r w:rsidR="007C5405">
        <w:t>:</w:t>
      </w:r>
      <w:r w:rsidR="00FF0969" w:rsidRPr="00FF0969">
        <w:t xml:space="preserve"> </w:t>
      </w:r>
    </w:p>
    <w:p w14:paraId="61D1F11B" w14:textId="01098588" w:rsidR="00C57209" w:rsidRPr="007C5405" w:rsidRDefault="007C5405" w:rsidP="003C7ABE">
      <w:pPr>
        <w:rPr>
          <w:i/>
          <w:iCs/>
        </w:rPr>
      </w:pPr>
      <w:r w:rsidRPr="007C5405">
        <w:rPr>
          <w:i/>
          <w:iCs/>
        </w:rPr>
        <w:t>„</w:t>
      </w:r>
      <w:r w:rsidR="005703F2" w:rsidRPr="007C5405">
        <w:rPr>
          <w:i/>
          <w:iCs/>
        </w:rPr>
        <w:t xml:space="preserve">Bei Abfallverbrennungs- und </w:t>
      </w:r>
      <w:proofErr w:type="spellStart"/>
      <w:r w:rsidR="005703F2" w:rsidRPr="007C5405">
        <w:rPr>
          <w:i/>
          <w:iCs/>
        </w:rPr>
        <w:t>Abfallmitverbrennungsanlagen</w:t>
      </w:r>
      <w:proofErr w:type="spellEnd"/>
      <w:r w:rsidR="005703F2" w:rsidRPr="007C5405">
        <w:rPr>
          <w:i/>
          <w:iCs/>
        </w:rPr>
        <w:t xml:space="preserve"> sind die Möglichkeiten der Emissionsminderung für PCDD/F und dl-PCB nach Anlage 1 Buchstabe d im An- und Abfahrbetrieb, währenddessen keine Abfälle verbrannt werden so weit wie möglich und unter Beachtung des Grundsatzes der Verhältnismäßigkeit zu vermindern oder unter Beachtung des Emissionsminimierungsgebotes zu begrenzen“.</w:t>
      </w:r>
    </w:p>
    <w:p w14:paraId="4D4FC1D3" w14:textId="77777777" w:rsidR="005703F2" w:rsidRPr="00B9789F" w:rsidRDefault="005703F2" w:rsidP="003C7ABE"/>
    <w:p w14:paraId="11CA30C9" w14:textId="19BCC946" w:rsidR="00C57209" w:rsidRPr="00B9789F" w:rsidRDefault="00495731" w:rsidP="00F44928">
      <w:pPr>
        <w:pStyle w:val="berschrift2"/>
      </w:pPr>
      <w:bookmarkStart w:id="20" w:name="_Toc187825538"/>
      <w:r>
        <w:t xml:space="preserve">Ermöglichung der </w:t>
      </w:r>
      <w:r w:rsidR="008C371D">
        <w:t xml:space="preserve">Nutzung </w:t>
      </w:r>
      <w:r w:rsidR="00F75EF9">
        <w:t xml:space="preserve">der etablierten UMS-Systeme </w:t>
      </w:r>
      <w:r>
        <w:t xml:space="preserve">durch Streichen </w:t>
      </w:r>
      <w:r w:rsidR="00547FD3">
        <w:t>der Verknüpfung der zusätzlichen Anforderungen (</w:t>
      </w:r>
      <w:r w:rsidR="006B54DB" w:rsidRPr="006B54DB">
        <w:t>§ 2 Abs. 2 der 45. BImSchV</w:t>
      </w:r>
      <w:r w:rsidR="00547FD3">
        <w:t>)</w:t>
      </w:r>
      <w:bookmarkEnd w:id="20"/>
      <w:r w:rsidR="006B54DB" w:rsidRPr="006B54DB">
        <w:t xml:space="preserve"> </w:t>
      </w:r>
    </w:p>
    <w:p w14:paraId="520EA57B" w14:textId="1E5B5DB9" w:rsidR="001B6B39" w:rsidRDefault="002D5A60" w:rsidP="003C7ABE">
      <w:r>
        <w:t>ITAD begrüßt, dass e</w:t>
      </w:r>
      <w:r w:rsidR="004A3229" w:rsidRPr="004A3229">
        <w:t>in U</w:t>
      </w:r>
      <w:r>
        <w:t>MS</w:t>
      </w:r>
      <w:r w:rsidR="004A3229" w:rsidRPr="004A3229">
        <w:t xml:space="preserve"> nach der IED von den Betreibern durch die Einführung eines Systems nach ISO 14001 oder EMAS</w:t>
      </w:r>
      <w:r>
        <w:t xml:space="preserve">, also durch bereits etablierte </w:t>
      </w:r>
      <w:r w:rsidR="001B6B39">
        <w:t>Systeme,</w:t>
      </w:r>
      <w:r w:rsidR="004A3229" w:rsidRPr="004A3229">
        <w:t xml:space="preserve"> umgesetzt werden</w:t>
      </w:r>
      <w:r w:rsidR="001B6B39">
        <w:t xml:space="preserve"> kann</w:t>
      </w:r>
      <w:r w:rsidR="004A3229" w:rsidRPr="004A3229">
        <w:t xml:space="preserve">. </w:t>
      </w:r>
      <w:r w:rsidR="00F912EC">
        <w:t>Das entspricht auch unserer Forderung nach einer möglichst schlanken Ausgestaltung der Berichtspflichten</w:t>
      </w:r>
      <w:r w:rsidR="00517211">
        <w:t xml:space="preserve"> durch bereits vorhandene </w:t>
      </w:r>
      <w:r w:rsidR="001338BB">
        <w:t>Lösungen.</w:t>
      </w:r>
    </w:p>
    <w:p w14:paraId="5D92D204" w14:textId="267D5799" w:rsidR="00825A18" w:rsidRDefault="00825A18" w:rsidP="003C7ABE">
      <w:r>
        <w:t xml:space="preserve">Allerdings </w:t>
      </w:r>
      <w:r w:rsidR="00F42FEA">
        <w:t>wird mit dem</w:t>
      </w:r>
      <w:r>
        <w:t xml:space="preserve"> </w:t>
      </w:r>
      <w:r w:rsidR="00A736E3">
        <w:t>letzte</w:t>
      </w:r>
      <w:r w:rsidR="00F42FEA">
        <w:t>n</w:t>
      </w:r>
      <w:r w:rsidR="00A736E3">
        <w:t xml:space="preserve"> Halbsatz </w:t>
      </w:r>
      <w:r w:rsidR="00BC6D36">
        <w:t>(</w:t>
      </w:r>
      <w:r w:rsidR="00A736E3" w:rsidRPr="00291860">
        <w:rPr>
          <w:i/>
          <w:iCs/>
        </w:rPr>
        <w:t>„</w:t>
      </w:r>
      <w:proofErr w:type="gramStart"/>
      <w:r w:rsidR="00BC6D36" w:rsidRPr="00291860">
        <w:rPr>
          <w:i/>
          <w:iCs/>
        </w:rPr>
        <w:t>[]…</w:t>
      </w:r>
      <w:proofErr w:type="gramEnd"/>
      <w:r w:rsidR="00BC6D36" w:rsidRPr="00291860">
        <w:rPr>
          <w:i/>
          <w:iCs/>
        </w:rPr>
        <w:t>einschließlich den sich aus dieser Verordnung ergebenden zusätzlichen Anforderungen.“</w:t>
      </w:r>
      <w:r w:rsidR="00BC6D36">
        <w:t>)</w:t>
      </w:r>
      <w:r w:rsidR="00F42FEA">
        <w:t xml:space="preserve"> impliziert</w:t>
      </w:r>
      <w:r w:rsidR="00BC6D36">
        <w:t>,</w:t>
      </w:r>
      <w:r w:rsidR="00F42FEA">
        <w:t xml:space="preserve"> dass eine einfache</w:t>
      </w:r>
      <w:r w:rsidR="00581A2B">
        <w:t xml:space="preserve">, standardmäßige Einführung der Systeme nicht ausreicht, sondern </w:t>
      </w:r>
      <w:r w:rsidR="00A52F73">
        <w:t xml:space="preserve">die </w:t>
      </w:r>
      <w:r w:rsidR="00CA2890">
        <w:t>zusätzlichen Anfor</w:t>
      </w:r>
      <w:r w:rsidR="00A52F73">
        <w:t xml:space="preserve">derungen </w:t>
      </w:r>
      <w:r w:rsidR="0016341D">
        <w:t xml:space="preserve">von den Systemen erfüllt werden müssen. </w:t>
      </w:r>
      <w:r w:rsidR="006F6E4C">
        <w:t xml:space="preserve">Diese Verknüpfung der Anforderungen </w:t>
      </w:r>
      <w:r w:rsidR="00F8685B">
        <w:t xml:space="preserve">ist nicht </w:t>
      </w:r>
      <w:r w:rsidR="00223032">
        <w:t>notwendig,</w:t>
      </w:r>
      <w:r w:rsidR="0060460A">
        <w:t xml:space="preserve"> sondern würde aus unserer Sicht zu </w:t>
      </w:r>
      <w:r w:rsidR="00BC31B3">
        <w:t>Unklarheiten bei Betreibern, Zertifizierern und Gutachtern erzeugen</w:t>
      </w:r>
      <w:r w:rsidR="00223032">
        <w:t>. D</w:t>
      </w:r>
      <w:r w:rsidR="00DD7EDE">
        <w:t xml:space="preserve">iese Anforderungen </w:t>
      </w:r>
      <w:r w:rsidR="00223032">
        <w:t xml:space="preserve">sind </w:t>
      </w:r>
      <w:r w:rsidR="00DD7EDE">
        <w:t>ohnehin</w:t>
      </w:r>
      <w:r w:rsidR="001270ED">
        <w:t xml:space="preserve"> bereits</w:t>
      </w:r>
      <w:r w:rsidR="00DA0F4C">
        <w:t xml:space="preserve"> innerhalb der </w:t>
      </w:r>
      <w:r w:rsidR="00223032">
        <w:t>UM-</w:t>
      </w:r>
      <w:r w:rsidR="00DA0F4C">
        <w:t>Systeme verankert</w:t>
      </w:r>
      <w:r w:rsidR="001270ED">
        <w:t xml:space="preserve"> </w:t>
      </w:r>
      <w:r w:rsidR="001C5B7A">
        <w:t xml:space="preserve">(d.h. </w:t>
      </w:r>
      <w:r w:rsidR="0036211D">
        <w:t>Gutachter müssen die Einhaltung der rechtlichen Vorgaben prüfen)</w:t>
      </w:r>
      <w:r w:rsidR="001C5B7A">
        <w:t xml:space="preserve">. </w:t>
      </w:r>
      <w:r w:rsidR="003B566D">
        <w:t xml:space="preserve">Es ist also </w:t>
      </w:r>
      <w:r w:rsidR="00594D5F">
        <w:t xml:space="preserve">auch unter Nutzung der </w:t>
      </w:r>
      <w:r w:rsidR="00543D97">
        <w:t xml:space="preserve">unverändert </w:t>
      </w:r>
      <w:r w:rsidR="00594D5F">
        <w:t xml:space="preserve">bestehenden UM-Systeme EMAS und </w:t>
      </w:r>
      <w:r w:rsidR="00E80230">
        <w:t>ISO 14001</w:t>
      </w:r>
      <w:r w:rsidR="005C619B">
        <w:t xml:space="preserve">, kurz gesagt unter Nutzung </w:t>
      </w:r>
      <w:r w:rsidR="00F02DFD">
        <w:t>etablierter Standards,</w:t>
      </w:r>
      <w:r w:rsidR="003B566D">
        <w:t xml:space="preserve"> </w:t>
      </w:r>
      <w:r w:rsidR="00E80230">
        <w:t xml:space="preserve">möglich, die </w:t>
      </w:r>
      <w:r w:rsidR="00543D97">
        <w:t xml:space="preserve">Anforderungen der IED </w:t>
      </w:r>
      <w:r w:rsidR="00AA1426">
        <w:t>zu integrieren</w:t>
      </w:r>
      <w:r w:rsidR="00F02DFD">
        <w:t>.</w:t>
      </w:r>
    </w:p>
    <w:p w14:paraId="75E3DDB7" w14:textId="3B99BDFC" w:rsidR="00F46508" w:rsidRDefault="00F46508" w:rsidP="003C7ABE">
      <w:r>
        <w:t>ITAD bittet deshalb um die Streichung des o.g. Halbsatzes.</w:t>
      </w:r>
    </w:p>
    <w:p w14:paraId="6C6C1948" w14:textId="77777777" w:rsidR="00BA540F" w:rsidRDefault="00BA540F" w:rsidP="003C7ABE"/>
    <w:p w14:paraId="0E01C159" w14:textId="127AB6D3" w:rsidR="00BA540F" w:rsidRDefault="0010165E" w:rsidP="00F44928">
      <w:pPr>
        <w:pStyle w:val="berschrift2"/>
      </w:pPr>
      <w:bookmarkStart w:id="21" w:name="_Toc187825539"/>
      <w:r>
        <w:t xml:space="preserve">Anpassung des zeitlichen </w:t>
      </w:r>
      <w:r w:rsidR="00A979C4">
        <w:t xml:space="preserve">Horizonts des Transformationsplans </w:t>
      </w:r>
      <w:r w:rsidR="00D544B8">
        <w:t>gemäß</w:t>
      </w:r>
      <w:r w:rsidR="00A979C4">
        <w:t xml:space="preserve"> EU-Vorgaben (</w:t>
      </w:r>
      <w:r w:rsidR="004E4B1D" w:rsidRPr="004E4B1D">
        <w:t>§ 4 Abs. 1 der 45. BImSchV</w:t>
      </w:r>
      <w:r w:rsidR="00202C75">
        <w:t>)</w:t>
      </w:r>
      <w:bookmarkEnd w:id="21"/>
      <w:r w:rsidR="004E4B1D" w:rsidRPr="004E4B1D">
        <w:t xml:space="preserve"> </w:t>
      </w:r>
    </w:p>
    <w:p w14:paraId="1E06ACD6" w14:textId="54FC04A1" w:rsidR="00BA5FF8" w:rsidRDefault="00BA5FF8" w:rsidP="0084696E">
      <w:r>
        <w:t>Entgegen den europarechtlichen Vorgaben</w:t>
      </w:r>
      <w:r w:rsidR="00E953FE">
        <w:t xml:space="preserve"> der IED </w:t>
      </w:r>
      <w:r w:rsidR="000239B5">
        <w:t xml:space="preserve">wird im vorliegenden Entwurf </w:t>
      </w:r>
      <w:r w:rsidR="00325CD5">
        <w:t xml:space="preserve">der zeitliche Horizont </w:t>
      </w:r>
      <w:r w:rsidR="000C6430">
        <w:t>zur Ergreifung der</w:t>
      </w:r>
      <w:r w:rsidR="0015236D">
        <w:t xml:space="preserve"> Maßnahmen des Transformationsplans </w:t>
      </w:r>
      <w:r w:rsidR="000C6430">
        <w:t xml:space="preserve">von 2030 bis 2045 </w:t>
      </w:r>
      <w:r w:rsidR="00B7494C">
        <w:t xml:space="preserve">angegeben. </w:t>
      </w:r>
      <w:r w:rsidR="003B45FB">
        <w:t xml:space="preserve">Auch hier </w:t>
      </w:r>
      <w:r w:rsidR="00EB7410">
        <w:t>bittet</w:t>
      </w:r>
      <w:r w:rsidR="003B45FB">
        <w:t xml:space="preserve"> ITAD </w:t>
      </w:r>
      <w:r w:rsidR="00EB7410">
        <w:t xml:space="preserve">um </w:t>
      </w:r>
      <w:r w:rsidR="003B45FB">
        <w:t>eine 1:1</w:t>
      </w:r>
      <w:r w:rsidR="00F839F4">
        <w:t>-</w:t>
      </w:r>
      <w:r w:rsidR="003B45FB">
        <w:t>Umsetzung</w:t>
      </w:r>
      <w:r w:rsidR="00A63CF4">
        <w:t xml:space="preserve"> bzw. eine entsprechende Anpassung des Entwurfes der Mantelverordnung</w:t>
      </w:r>
      <w:r w:rsidR="00895EAE">
        <w:t xml:space="preserve">, laut derer der Zeitraum von 2030 bis 2050 </w:t>
      </w:r>
      <w:r w:rsidR="00D5238E">
        <w:t>anzusetzen ist</w:t>
      </w:r>
      <w:r w:rsidR="008B617E">
        <w:t>.</w:t>
      </w:r>
    </w:p>
    <w:p w14:paraId="1D10AB23" w14:textId="2B5D1812" w:rsidR="00BA540F" w:rsidRDefault="0084696E" w:rsidP="0084696E">
      <w:commentRangeStart w:id="22"/>
      <w:r>
        <w:lastRenderedPageBreak/>
        <w:t>Es sollte auch geprüft werden, ob für bestimmte Branchen, wie etwa die Sonderabfall-verbrennung, ein Transformationsplan entbehrlich ist. Die Sonderabfallverbrennung ist ein unverzichtbarer Bestandteil der Kreislaufwirtschaft und unterliegt bereits heute umfassenden Berichtspflichten, unter anderem zur Nachhaltigkeit (CSRD), sodass sich die Frage der Sinnhaftigkeit eines weiteren Transformationsplans im Sinne der vorgesehenen Regelung aufdrängt. Letzteres ist auch bezogen auf den insoweit noch ausstehenden Delegierten Rechtsakt zum Inhalt des Transformationsplans gegenüber der EU-Kommission kritisch zu hinterfragen. Ergänzend verweisen wir hierzu auf die ausführliche Stellungnahme des VCI zum Transformationsplan.</w:t>
      </w:r>
      <w:commentRangeEnd w:id="22"/>
      <w:r w:rsidR="00512C72">
        <w:rPr>
          <w:rStyle w:val="Kommentarzeichen"/>
        </w:rPr>
        <w:commentReference w:id="22"/>
      </w:r>
    </w:p>
    <w:p w14:paraId="5360EDDD" w14:textId="77777777" w:rsidR="00BA540F" w:rsidRDefault="00BA540F" w:rsidP="003C7ABE"/>
    <w:p w14:paraId="27E1450E" w14:textId="66CD4EBF" w:rsidR="0084696E" w:rsidRDefault="00B027C8" w:rsidP="00F44928">
      <w:pPr>
        <w:pStyle w:val="berschrift2"/>
      </w:pPr>
      <w:r w:rsidRPr="00B027C8">
        <w:t xml:space="preserve"> </w:t>
      </w:r>
      <w:bookmarkStart w:id="23" w:name="_Toc187825540"/>
      <w:r w:rsidR="00876554">
        <w:t xml:space="preserve">Anpassung der Regelungen zur </w:t>
      </w:r>
      <w:r w:rsidRPr="00B027C8">
        <w:t>Veröffentlichung des UMS</w:t>
      </w:r>
      <w:r w:rsidR="0009534D">
        <w:t xml:space="preserve"> gemäß EU-Vorgaben</w:t>
      </w:r>
      <w:r w:rsidR="000C3BEA">
        <w:t xml:space="preserve"> (</w:t>
      </w:r>
      <w:r w:rsidR="000C3BEA" w:rsidRPr="00B027C8">
        <w:t>§ 5 der 45. BImSchV</w:t>
      </w:r>
      <w:r w:rsidR="000C3BEA">
        <w:t>)</w:t>
      </w:r>
      <w:bookmarkEnd w:id="23"/>
    </w:p>
    <w:p w14:paraId="510A5713" w14:textId="564905D1" w:rsidR="00517256" w:rsidRDefault="004B0854" w:rsidP="003C7ABE">
      <w:r>
        <w:t>Die Regelungen i</w:t>
      </w:r>
      <w:r w:rsidR="00C3453F" w:rsidRPr="00C3453F">
        <w:t xml:space="preserve">n § 5 </w:t>
      </w:r>
      <w:r>
        <w:t>im vorliegenden Entwurf gehen über eine 1:</w:t>
      </w:r>
      <w:r w:rsidR="00CD1CDA">
        <w:t>1-Umesetzung hinaus</w:t>
      </w:r>
      <w:r w:rsidR="00335F1E">
        <w:t xml:space="preserve">, da keine Eingrenzung auf die </w:t>
      </w:r>
      <w:r w:rsidR="0010136D">
        <w:t>für IED-Anlagen relevanten Informationen</w:t>
      </w:r>
      <w:r w:rsidR="00CD1CDA">
        <w:t xml:space="preserve"> </w:t>
      </w:r>
      <w:r w:rsidR="0010136D">
        <w:t xml:space="preserve">erfolgt. </w:t>
      </w:r>
      <w:r w:rsidR="007F337A">
        <w:t>Daher</w:t>
      </w:r>
      <w:r w:rsidR="00B1316C">
        <w:t xml:space="preserve"> sollte</w:t>
      </w:r>
      <w:r w:rsidR="00C3453F" w:rsidRPr="00C3453F">
        <w:t xml:space="preserve"> klargestellt werden, dass nur die Informationen eines Umweltmanagementsystem </w:t>
      </w:r>
      <w:r w:rsidR="00517256">
        <w:t xml:space="preserve">zu </w:t>
      </w:r>
      <w:r w:rsidR="00C3453F" w:rsidRPr="00C3453F">
        <w:t xml:space="preserve">veröffentlichen </w:t>
      </w:r>
      <w:r w:rsidR="00517256">
        <w:t>sind</w:t>
      </w:r>
      <w:r w:rsidR="00C3453F" w:rsidRPr="00C3453F">
        <w:t>, die sich auf die IED-Anlage beziehen</w:t>
      </w:r>
      <w:r w:rsidR="00D3023E">
        <w:t xml:space="preserve"> (nicht auch auf mögliche andere Aktivitäten des Betreibers, die i</w:t>
      </w:r>
      <w:r w:rsidR="0037773A">
        <w:t>m UMS erfasst sind)</w:t>
      </w:r>
      <w:r w:rsidR="00C3453F" w:rsidRPr="00C3453F">
        <w:t>.</w:t>
      </w:r>
    </w:p>
    <w:p w14:paraId="0CF7F399" w14:textId="4DC91036" w:rsidR="00490248" w:rsidRDefault="00490248" w:rsidP="003C7ABE">
      <w:r>
        <w:t xml:space="preserve">Darüber hinaus sollte präzisiert werden, dass </w:t>
      </w:r>
      <w:r w:rsidR="00594BFC">
        <w:t>nicht das „</w:t>
      </w:r>
      <w:r w:rsidR="00475E03" w:rsidRPr="00475E03">
        <w:t>Ergebnis der Konformitätsbewertung“, sondern der „Nachweis der Konformität“</w:t>
      </w:r>
      <w:r w:rsidR="00475E03">
        <w:t xml:space="preserve"> </w:t>
      </w:r>
      <w:r w:rsidR="00FC427A">
        <w:t>zu veröffentlichen ist</w:t>
      </w:r>
      <w:r w:rsidR="00AF0FD4">
        <w:t xml:space="preserve"> (d.h. Angleichung de</w:t>
      </w:r>
      <w:r w:rsidR="00F01DC2">
        <w:t>s</w:t>
      </w:r>
      <w:r w:rsidR="00AF0FD4">
        <w:t xml:space="preserve"> Begriff</w:t>
      </w:r>
      <w:r w:rsidR="00F01DC2">
        <w:t xml:space="preserve">s zu § 7 Abs. </w:t>
      </w:r>
      <w:r w:rsidR="00F313AF">
        <w:t>3).</w:t>
      </w:r>
    </w:p>
    <w:p w14:paraId="4F7E49CF" w14:textId="77777777" w:rsidR="0084696E" w:rsidRDefault="0084696E" w:rsidP="003C7ABE"/>
    <w:p w14:paraId="7D571234" w14:textId="42137CA1" w:rsidR="005F2F3D" w:rsidRDefault="00366B98" w:rsidP="00235DE4">
      <w:pPr>
        <w:pStyle w:val="berschrift2"/>
      </w:pPr>
      <w:bookmarkStart w:id="24" w:name="_Toc187825541"/>
      <w:r>
        <w:t xml:space="preserve">Anpassung der Messverpflichtung und Datenerhebung </w:t>
      </w:r>
      <w:r w:rsidR="00E70230">
        <w:t>indikativer Werte an EU-Vorgaben (</w:t>
      </w:r>
      <w:r w:rsidR="00E70230" w:rsidRPr="00B027C8">
        <w:t xml:space="preserve">§ </w:t>
      </w:r>
      <w:r w:rsidR="00F973EB">
        <w:t>6</w:t>
      </w:r>
      <w:r w:rsidR="00E70230" w:rsidRPr="00B027C8">
        <w:t xml:space="preserve"> der 45. BImSchV</w:t>
      </w:r>
      <w:r w:rsidR="00E70230">
        <w:t>)</w:t>
      </w:r>
      <w:bookmarkEnd w:id="24"/>
    </w:p>
    <w:p w14:paraId="5AA72B05" w14:textId="44629AC0" w:rsidR="00B86CC3" w:rsidRDefault="00F145AB" w:rsidP="003C7ABE">
      <w:r>
        <w:t xml:space="preserve">Im vorliegenden Entwurf </w:t>
      </w:r>
      <w:r w:rsidR="00C118A0">
        <w:t xml:space="preserve">werden </w:t>
      </w:r>
      <w:r w:rsidR="008D3BAB">
        <w:t xml:space="preserve">durch Referenz auf § 3 Abs. </w:t>
      </w:r>
      <w:r w:rsidR="004F0A99">
        <w:t xml:space="preserve">2 Nr. 1 und 2 </w:t>
      </w:r>
      <w:r w:rsidR="00C118A0">
        <w:t>auch die indikativen Umwelt</w:t>
      </w:r>
      <w:r w:rsidR="00590F9E">
        <w:t xml:space="preserve">leistungsrichtwerte </w:t>
      </w:r>
      <w:r w:rsidR="000F7DC6">
        <w:t>in die Messverpflichtung und Datenerhebung einbezogen</w:t>
      </w:r>
      <w:r w:rsidR="00D3432D">
        <w:t xml:space="preserve">. Entsprechend </w:t>
      </w:r>
      <w:r w:rsidR="00A94F37">
        <w:t xml:space="preserve">der IED und </w:t>
      </w:r>
      <w:r w:rsidR="00D3432D">
        <w:t xml:space="preserve">des </w:t>
      </w:r>
      <w:r w:rsidR="009606D4">
        <w:t xml:space="preserve">vorliegenden </w:t>
      </w:r>
      <w:r w:rsidR="00D3432D">
        <w:t xml:space="preserve">Entwurfes </w:t>
      </w:r>
      <w:r w:rsidR="009606D4">
        <w:t>§ 1 Abs. 6h BImSchG</w:t>
      </w:r>
      <w:r w:rsidR="004F0A99">
        <w:t xml:space="preserve"> gehen wir davon aus, dass </w:t>
      </w:r>
      <w:r w:rsidR="0028410B">
        <w:t xml:space="preserve">dies </w:t>
      </w:r>
      <w:r w:rsidR="0024373C">
        <w:t>ein Fehler</w:t>
      </w:r>
      <w:r w:rsidR="00904C3F">
        <w:t xml:space="preserve"> ist und schlagen vor, dies</w:t>
      </w:r>
      <w:r w:rsidR="0024373C">
        <w:t xml:space="preserve">en durch Streichung </w:t>
      </w:r>
      <w:r w:rsidR="000521F8">
        <w:t>der Referenz auf § 3 Abs. 2 Nr. 2</w:t>
      </w:r>
      <w:r w:rsidR="00025BA0">
        <w:t xml:space="preserve"> zu korrigieren.</w:t>
      </w:r>
    </w:p>
    <w:p w14:paraId="558424E0" w14:textId="77777777" w:rsidR="00235DE4" w:rsidRDefault="00235DE4" w:rsidP="003C7ABE"/>
    <w:p w14:paraId="2B717878" w14:textId="17905FDF" w:rsidR="00E41C76" w:rsidRDefault="00B30F24" w:rsidP="00F14005">
      <w:pPr>
        <w:pStyle w:val="berschrift2"/>
      </w:pPr>
      <w:bookmarkStart w:id="25" w:name="_Toc187825542"/>
      <w:r>
        <w:t xml:space="preserve">Verzicht auf unverzügliche Bereitstellung der </w:t>
      </w:r>
      <w:r w:rsidR="008D580D">
        <w:t>Nachweise (</w:t>
      </w:r>
      <w:r w:rsidR="008D580D" w:rsidRPr="004E4B1D">
        <w:t xml:space="preserve">§ </w:t>
      </w:r>
      <w:r w:rsidR="008D580D">
        <w:t>7</w:t>
      </w:r>
      <w:r w:rsidR="008D580D" w:rsidRPr="004E4B1D">
        <w:t xml:space="preserve"> der 45. BImSchV</w:t>
      </w:r>
      <w:r w:rsidR="00F14005">
        <w:t>)</w:t>
      </w:r>
      <w:bookmarkEnd w:id="25"/>
    </w:p>
    <w:p w14:paraId="38237252" w14:textId="4F1FF322" w:rsidR="00657871" w:rsidRDefault="001E7C54" w:rsidP="00F14005">
      <w:r>
        <w:t xml:space="preserve">Im </w:t>
      </w:r>
      <w:r w:rsidR="00A11EE8">
        <w:t xml:space="preserve">vorliegenden </w:t>
      </w:r>
      <w:r>
        <w:t xml:space="preserve">Entwurf wird </w:t>
      </w:r>
      <w:r w:rsidR="00C53FCC">
        <w:t xml:space="preserve">in allen Absätzen </w:t>
      </w:r>
      <w:r>
        <w:t xml:space="preserve">die unverzügliche </w:t>
      </w:r>
      <w:r w:rsidR="00C53FCC">
        <w:t xml:space="preserve">Vorlage der Nachweise an die zuständige Behörde </w:t>
      </w:r>
      <w:r w:rsidR="00E965F4">
        <w:t xml:space="preserve">verlangt. </w:t>
      </w:r>
      <w:r w:rsidR="002A3F7B">
        <w:t xml:space="preserve">Warum dies unverzüglich </w:t>
      </w:r>
      <w:r w:rsidR="00C14D96">
        <w:t xml:space="preserve">und nicht im Rahmen der üblichen Überwachung </w:t>
      </w:r>
      <w:r w:rsidR="002A3F7B">
        <w:t>geschehen soll, erschließt sich uns nicht</w:t>
      </w:r>
      <w:r w:rsidR="00C14D96">
        <w:t xml:space="preserve">. </w:t>
      </w:r>
      <w:r w:rsidR="006E3A4F">
        <w:t>Auch</w:t>
      </w:r>
      <w:r w:rsidR="000E7FC8">
        <w:t xml:space="preserve"> ergibt sich </w:t>
      </w:r>
      <w:r w:rsidR="006E3A4F">
        <w:t xml:space="preserve">dies </w:t>
      </w:r>
      <w:r w:rsidR="000E7FC8">
        <w:t>nicht aus der</w:t>
      </w:r>
      <w:r w:rsidR="00D832C9" w:rsidRPr="00D832C9">
        <w:t xml:space="preserve"> IED und stellt </w:t>
      </w:r>
      <w:r w:rsidR="000E7FC8">
        <w:t xml:space="preserve">somit </w:t>
      </w:r>
      <w:r w:rsidR="00D832C9" w:rsidRPr="00D832C9">
        <w:t>ein unnötiges bürokratisches Element dar.</w:t>
      </w:r>
    </w:p>
    <w:p w14:paraId="74638B17" w14:textId="4DAA928F" w:rsidR="00E635AF" w:rsidRPr="00F14005" w:rsidRDefault="00657871" w:rsidP="00F14005">
      <w:r>
        <w:lastRenderedPageBreak/>
        <w:t>Die Nachweise können</w:t>
      </w:r>
      <w:r w:rsidR="003F419D">
        <w:t>,</w:t>
      </w:r>
      <w:r>
        <w:t xml:space="preserve"> </w:t>
      </w:r>
      <w:r w:rsidR="0093306D">
        <w:t xml:space="preserve">z.B. </w:t>
      </w:r>
      <w:r>
        <w:t>i</w:t>
      </w:r>
      <w:r w:rsidR="00D832C9" w:rsidRPr="00D832C9">
        <w:t>m Rahmen der regelmäßigen Überwachung</w:t>
      </w:r>
      <w:r w:rsidR="003F419D">
        <w:t>,</w:t>
      </w:r>
      <w:r w:rsidR="00D832C9" w:rsidRPr="00D832C9">
        <w:t xml:space="preserve"> </w:t>
      </w:r>
      <w:r>
        <w:t>durch</w:t>
      </w:r>
      <w:r w:rsidR="00D832C9" w:rsidRPr="00D832C9">
        <w:t xml:space="preserve"> die Behörde an</w:t>
      </w:r>
      <w:r w:rsidR="000738E3">
        <w:t>gefordert werden</w:t>
      </w:r>
      <w:r w:rsidR="00D832C9" w:rsidRPr="00D832C9">
        <w:t>, wie es auch bei anderen Überwachungsgegenständen üblich ist.</w:t>
      </w:r>
      <w:r w:rsidR="006E3A4F">
        <w:t xml:space="preserve"> </w:t>
      </w:r>
      <w:r w:rsidR="00E635AF">
        <w:t>Nachvollziehbar wäre aus unsere</w:t>
      </w:r>
      <w:r w:rsidR="0044489C">
        <w:t>r</w:t>
      </w:r>
      <w:r w:rsidR="00E635AF">
        <w:t xml:space="preserve"> Sicht die unverzügliche Bereitstellung der Nachweise auf Anf</w:t>
      </w:r>
      <w:r w:rsidR="0044489C">
        <w:t>orderung</w:t>
      </w:r>
      <w:r w:rsidR="00E635AF">
        <w:t xml:space="preserve"> der Behörde.</w:t>
      </w:r>
    </w:p>
    <w:p w14:paraId="172C4007" w14:textId="77777777" w:rsidR="004F7690" w:rsidRDefault="004F7690" w:rsidP="003C7ABE"/>
    <w:p w14:paraId="1315D19A" w14:textId="35988E1C" w:rsidR="00C3453F" w:rsidRDefault="0022521A" w:rsidP="00215598">
      <w:pPr>
        <w:pStyle w:val="berschrift2"/>
      </w:pPr>
      <w:bookmarkStart w:id="26" w:name="_Toc187825543"/>
      <w:r>
        <w:t xml:space="preserve">Streichung der </w:t>
      </w:r>
      <w:r w:rsidR="00C65FA7">
        <w:t xml:space="preserve">expliziten </w:t>
      </w:r>
      <w:r w:rsidR="00DD30D3">
        <w:t>B</w:t>
      </w:r>
      <w:r w:rsidR="00174299">
        <w:t>VT</w:t>
      </w:r>
      <w:r w:rsidR="00C65FA7">
        <w:t>-An</w:t>
      </w:r>
      <w:r w:rsidR="00BB78DB">
        <w:t>forderungen</w:t>
      </w:r>
      <w:r w:rsidR="00DD30D3">
        <w:t xml:space="preserve"> </w:t>
      </w:r>
      <w:r w:rsidR="00BB78DB">
        <w:t>(</w:t>
      </w:r>
      <w:r w:rsidR="00027F23" w:rsidRPr="00027F23">
        <w:t>Anlage 1 zu § 3 Abs. 3 der 45. BImSchV</w:t>
      </w:r>
      <w:r w:rsidR="00BB78DB">
        <w:t>)</w:t>
      </w:r>
      <w:bookmarkEnd w:id="26"/>
    </w:p>
    <w:p w14:paraId="29318B3A" w14:textId="2E9990F8" w:rsidR="00361EEC" w:rsidRDefault="007E59E4" w:rsidP="003C7ABE">
      <w:r>
        <w:t xml:space="preserve">ITAD </w:t>
      </w:r>
      <w:r w:rsidR="002B2288">
        <w:t>schließt sich</w:t>
      </w:r>
      <w:r w:rsidR="00261DF8" w:rsidRPr="00261DF8">
        <w:t xml:space="preserve"> der </w:t>
      </w:r>
      <w:r w:rsidR="009163A6">
        <w:t>Position</w:t>
      </w:r>
      <w:r w:rsidR="00261DF8" w:rsidRPr="00261DF8">
        <w:t xml:space="preserve"> des BDI und des VCI an, </w:t>
      </w:r>
      <w:r w:rsidR="00661E6E">
        <w:t>und bittet</w:t>
      </w:r>
      <w:r w:rsidR="00777AF2">
        <w:t xml:space="preserve"> darum</w:t>
      </w:r>
      <w:r w:rsidR="00661E6E">
        <w:t xml:space="preserve">, </w:t>
      </w:r>
      <w:r w:rsidR="00261DF8" w:rsidRPr="00261DF8">
        <w:t xml:space="preserve">die Anlage </w:t>
      </w:r>
      <w:r w:rsidR="002B2288">
        <w:t>1</w:t>
      </w:r>
      <w:r w:rsidR="00261DF8" w:rsidRPr="00261DF8">
        <w:t xml:space="preserve"> ersatzlos zu streichen</w:t>
      </w:r>
      <w:r w:rsidR="0097767F">
        <w:t xml:space="preserve"> und die explizite Wiedergabe von (alten) B</w:t>
      </w:r>
      <w:r w:rsidR="00402DD8">
        <w:t>VT-Merkblättern durch einen allgemeinen Verweis auf</w:t>
      </w:r>
      <w:r w:rsidR="008E308B">
        <w:t xml:space="preserve"> (neue) BVT-Anforderungen zu ersetzen</w:t>
      </w:r>
      <w:r w:rsidR="000C3BEA">
        <w:t>.</w:t>
      </w:r>
    </w:p>
    <w:p w14:paraId="4B7C3745" w14:textId="64764B3F" w:rsidR="00C3453F" w:rsidRDefault="00261DF8" w:rsidP="003C7ABE">
      <w:commentRangeStart w:id="27"/>
      <w:r w:rsidRPr="00261DF8">
        <w:t>Zur Vermeidung von Wiederholungen wird auf die ausführlichen Stellungnahmen des VCI und des BDI verwiesen.</w:t>
      </w:r>
      <w:commentRangeEnd w:id="27"/>
      <w:r w:rsidR="00CE469E">
        <w:rPr>
          <w:rStyle w:val="Kommentarzeichen"/>
        </w:rPr>
        <w:commentReference w:id="27"/>
      </w:r>
    </w:p>
    <w:p w14:paraId="6CB8A82F" w14:textId="2B509641" w:rsidR="00DD6430" w:rsidRDefault="00DD6430" w:rsidP="00DD6430">
      <w:r>
        <w:t>Anlage 1 enthält bisher nur Vorgaben aus „alten“ BVT-Merkblättern, die unter der bisherigen IED entstanden sind.  Vorgaben zu Umweltmanagementsystemen aus „alten“ BVT-Merkblättern sollten aber nicht als verpflichtende Voraussetzung in die Verordnung aufgenommen werden.</w:t>
      </w:r>
    </w:p>
    <w:p w14:paraId="0319177A" w14:textId="135DC458" w:rsidR="00DD6430" w:rsidRDefault="00DD6430" w:rsidP="00DD6430">
      <w:r>
        <w:t>Mit der Änderung der EU-Richtlinie über Industrieemissionen wird erstmals neu die Vorgabe eingeführt, dass jede IED-Anlage ein Umweltmanagementsystem installieren muss. Das Umweltmanagementsystem soll dabei die in der IED (Art. 14a Abs. 2 IED) genannten Inhalte aufführen sowie zusätzlich in BVT-Schlussfolgerungen genannte Merkmale erfüllen. Da die neue IED auf die Zukunft ausgerichtet ist, können auch nur Vorgaben für das Umweltmanagementsystem aus zukünftigen BVT-Schlussfolgerungen im nationalen Recht verbindlich vorgegeben werden.</w:t>
      </w:r>
    </w:p>
    <w:p w14:paraId="74A6554B" w14:textId="77777777" w:rsidR="00DD6430" w:rsidRDefault="00DD6430" w:rsidP="00DD6430">
      <w:r>
        <w:t xml:space="preserve">Diese Systematik der IED-Richtlinie zeigt sich insbesondere bei den Bestimmungen, mit denen die neuen Anforderungen aus BVT in die Praxis eingeführt werden. Für diese neuen BVT, die zum Bei-spiel Umweltleistungswerte, Umweltleistungsgrenzwerte, aber auch neue Regelungen über die Be-stimmung des Emissionsgrenzwertes enthalten, gelten Übergangsvorschriften, so dass nur „neue“ BVT nach und nach in die betriebliche Praxis eingeführt werden. Diese Regelungen sind Ausdruck des allgemeinen Verhältnismäßigkeitsgrundsatzes, der auch im EU-Recht gilt. </w:t>
      </w:r>
    </w:p>
    <w:p w14:paraId="2C23245F" w14:textId="0942E1B7" w:rsidR="00DD6430" w:rsidRDefault="00DD6430" w:rsidP="00DD6430">
      <w:r>
        <w:t xml:space="preserve">Eine systematische und EU-Grundrechtskonforme Auslegung der IED verlangt, dass es keine Umsetzungsverpflichtung eines Mitgliedstaates im Hinblick auf UMS-Anforderungen in bestehenden BVT-Merkblättern gibt. Es wäre systemwidrig und unverhältnismäßig in der von der EU vorgesehenen </w:t>
      </w:r>
      <w:r>
        <w:lastRenderedPageBreak/>
        <w:t xml:space="preserve">kurzen Einführungs- (und </w:t>
      </w:r>
      <w:proofErr w:type="spellStart"/>
      <w:r>
        <w:t>Auditierungs</w:t>
      </w:r>
      <w:proofErr w:type="spellEnd"/>
      <w:r>
        <w:t xml:space="preserve">-)Frist zusätzliche anlagenspezifische Elemente in ein bestehendes betriebliches UMS aufzunehmen. </w:t>
      </w:r>
    </w:p>
    <w:p w14:paraId="5B37204F" w14:textId="701B8A66" w:rsidR="00DD6430" w:rsidRDefault="00DD6430" w:rsidP="00DD6430">
      <w:r>
        <w:t>Die unter der bisherigen IED-Richtlinie beschlossenen BVT-Merkblätter wurden unter der Maßgabe verhandelt, dass lediglich die Emissionsbandbreiten als Emissionsgrenzwerte verbindlich in deutsches Recht zu übernehmen waren. Sonstige Inhalte der BVT-Merkblätter waren nicht verbindlich in deutsches Recht umzusetzen, weshalb der Fokus der Verhandlungen nicht auf diesen Aspekten lag und für die Erarbeitung andere Voraussetzungen galten. Eine gesonderte Verhältnismäßigkeitsprüfung dieser zusätzlichen UMS-Anforderungen fand nicht statt.</w:t>
      </w:r>
    </w:p>
    <w:p w14:paraId="1B441860" w14:textId="6B996C9A" w:rsidR="0084696E" w:rsidRDefault="00DD6430" w:rsidP="00DD6430">
      <w:r>
        <w:t xml:space="preserve"> „Alte“ BREFs sollten daher zunächst revidiert und überarbeitet werden, bevor Vorgaben zum Umweltmanagementsystem aus den BREFs national verbindlich festgelegt werden.</w:t>
      </w:r>
    </w:p>
    <w:p w14:paraId="37209B1E" w14:textId="77777777" w:rsidR="009A4FB4" w:rsidRDefault="009A4FB4" w:rsidP="003C7ABE"/>
    <w:p w14:paraId="10CE5413" w14:textId="1190B27A" w:rsidR="0084696E" w:rsidRDefault="00A372D8" w:rsidP="00215598">
      <w:pPr>
        <w:pStyle w:val="berschrift2"/>
      </w:pPr>
      <w:bookmarkStart w:id="28" w:name="_Toc187825544"/>
      <w:r>
        <w:t xml:space="preserve">Streichung </w:t>
      </w:r>
      <w:r w:rsidR="004D7DC4">
        <w:t xml:space="preserve">der detaillierten Ausgestaltung des Chemikalienverzeichnisses </w:t>
      </w:r>
      <w:r w:rsidR="00CC7102">
        <w:t>(</w:t>
      </w:r>
      <w:r w:rsidR="002671AC" w:rsidRPr="002671AC">
        <w:t xml:space="preserve">Anlage 2 </w:t>
      </w:r>
      <w:proofErr w:type="spellStart"/>
      <w:r w:rsidR="002671AC" w:rsidRPr="002671AC">
        <w:t>i.V.m</w:t>
      </w:r>
      <w:proofErr w:type="spellEnd"/>
      <w:r w:rsidR="002671AC" w:rsidRPr="002671AC">
        <w:t>. § 3 Abs. 2 Nr. 4 der 45. BImSchV</w:t>
      </w:r>
      <w:r w:rsidR="00CC7102">
        <w:t>)</w:t>
      </w:r>
      <w:bookmarkEnd w:id="28"/>
    </w:p>
    <w:p w14:paraId="26F9A38F" w14:textId="005F26AE" w:rsidR="003337A8" w:rsidRDefault="006D290F" w:rsidP="00ED4F53">
      <w:r>
        <w:t xml:space="preserve">ITAD schließt sich der </w:t>
      </w:r>
      <w:r w:rsidR="00B8221E">
        <w:t xml:space="preserve">Position des BDI </w:t>
      </w:r>
      <w:r w:rsidR="00AB2F5F">
        <w:t xml:space="preserve">und des VCI </w:t>
      </w:r>
      <w:r w:rsidR="00B8221E">
        <w:t>an und empfiehlt die Streichung der Anlage 2</w:t>
      </w:r>
      <w:r w:rsidR="003D2C30">
        <w:t xml:space="preserve"> sowie die Einführung einer Vermutungsregelung</w:t>
      </w:r>
      <w:r w:rsidR="000231BC">
        <w:t>, die die bereits bestehenden</w:t>
      </w:r>
      <w:r w:rsidR="00DB504F">
        <w:t xml:space="preserve">, und nach unserer Auffassung </w:t>
      </w:r>
      <w:r w:rsidR="00DB3E45">
        <w:t xml:space="preserve">diesbezüglich </w:t>
      </w:r>
      <w:r w:rsidR="00DB504F">
        <w:t xml:space="preserve">ausreichenden, gesetzlichen Regelungen aus dem </w:t>
      </w:r>
      <w:r w:rsidR="00AD7950">
        <w:t xml:space="preserve">Arbeitsschutz- und Gefahrstoffrecht </w:t>
      </w:r>
      <w:r w:rsidR="00DB3E45">
        <w:t>berücksichtigt.</w:t>
      </w:r>
      <w:r w:rsidR="001F20DD">
        <w:t xml:space="preserve"> </w:t>
      </w:r>
      <w:r w:rsidR="00762E1D">
        <w:t xml:space="preserve">In den vorgeschlagenen Regelungen sehen wir eine unnötige Doppelregelung, die </w:t>
      </w:r>
      <w:r w:rsidR="001A74D6">
        <w:t>einen</w:t>
      </w:r>
      <w:r w:rsidR="00762E1D">
        <w:t xml:space="preserve"> erhebliche</w:t>
      </w:r>
      <w:r w:rsidR="001A74D6">
        <w:t>n</w:t>
      </w:r>
      <w:r w:rsidR="00762E1D">
        <w:t xml:space="preserve"> </w:t>
      </w:r>
      <w:r w:rsidR="001A74D6">
        <w:t>Bürokratieaufwand nach sich zieht</w:t>
      </w:r>
      <w:r w:rsidR="00704F6B">
        <w:t xml:space="preserve"> und</w:t>
      </w:r>
      <w:r w:rsidR="00FC4BD1">
        <w:t xml:space="preserve"> weder im Bereich der Sicherheit </w:t>
      </w:r>
      <w:proofErr w:type="gramStart"/>
      <w:r w:rsidR="00FC4BD1">
        <w:t>von Mensch</w:t>
      </w:r>
      <w:proofErr w:type="gramEnd"/>
      <w:r w:rsidR="00FC4BD1">
        <w:t xml:space="preserve"> und Umwelt</w:t>
      </w:r>
      <w:r w:rsidR="0037206D">
        <w:t xml:space="preserve"> zu </w:t>
      </w:r>
      <w:r w:rsidR="008B3B86">
        <w:t>Verbesserungen führ</w:t>
      </w:r>
      <w:r w:rsidR="00FC4BD1">
        <w:t xml:space="preserve">, noch </w:t>
      </w:r>
      <w:r w:rsidR="008B3B86">
        <w:t xml:space="preserve">bestehende Unklarheiten zur bereits heute </w:t>
      </w:r>
      <w:r w:rsidR="00596D0D">
        <w:t>strittigen Einordnung von Abfällen in das Chemikalienrecht beseitigt</w:t>
      </w:r>
      <w:r w:rsidR="00473892">
        <w:t>.</w:t>
      </w:r>
    </w:p>
    <w:p w14:paraId="4899B663" w14:textId="613AC738" w:rsidR="0085050D" w:rsidRDefault="00A1049B" w:rsidP="00ED4F53">
      <w:r>
        <w:t>Den nachfolgenden Vorschlag</w:t>
      </w:r>
      <w:r w:rsidR="007A4F68">
        <w:t xml:space="preserve"> des VCI </w:t>
      </w:r>
      <w:r w:rsidR="007B392A">
        <w:t>in kursiver Schrift unterstützt ITAD entsprechend:</w:t>
      </w:r>
    </w:p>
    <w:p w14:paraId="06A818B0" w14:textId="584C8A1A" w:rsidR="00473565" w:rsidRPr="008E34E2" w:rsidRDefault="003C1D48" w:rsidP="00ED4F53">
      <w:pPr>
        <w:rPr>
          <w:i/>
          <w:iCs/>
        </w:rPr>
      </w:pPr>
      <w:r w:rsidRPr="008E34E2">
        <w:rPr>
          <w:i/>
          <w:iCs/>
        </w:rPr>
        <w:t>Es sollte angenommen werden, dass ein Chemikalienverzeichnis den Anforderungen gemäß § 3 Abs. 2 Nr. 4 der 45. BImSchV entspricht, wenn die Vorschriften zur Gefährdungsbeurteilung nach § 6 Abs. 1 GefStoffV erfüllt sind, ein Gefahrstoffverzeichnis nach § 6 Abs. 12 GefStoffV vorliegt und die Anlage über dokumentierte und aktuelle Genehmigungsunterlagen nach dem Bundes-Immissionsschutzgesetz sowie, falls anwendbar, nach dem Wasserhaushaltsgesetz und den darauf basierenden Verordnungen verfügt.</w:t>
      </w:r>
    </w:p>
    <w:p w14:paraId="70E7D17D" w14:textId="215DFBC0" w:rsidR="00D43493" w:rsidRDefault="00B2358F" w:rsidP="00ED4F53">
      <w:r>
        <w:t>In Bezug auf</w:t>
      </w:r>
      <w:r w:rsidR="0085050D">
        <w:t xml:space="preserve"> TAB </w:t>
      </w:r>
      <w:r w:rsidR="00473892">
        <w:t xml:space="preserve">merken wir </w:t>
      </w:r>
      <w:r w:rsidR="00A64523">
        <w:t xml:space="preserve">zusätzlich an, dass </w:t>
      </w:r>
      <w:r>
        <w:t>schon</w:t>
      </w:r>
      <w:r w:rsidR="00ED4F53">
        <w:t xml:space="preserve"> </w:t>
      </w:r>
      <w:r w:rsidR="0001020A">
        <w:t xml:space="preserve">die Einordnung von </w:t>
      </w:r>
      <w:r w:rsidR="00ED4F53">
        <w:t>Abfälle</w:t>
      </w:r>
      <w:r w:rsidR="0001020A">
        <w:t>n</w:t>
      </w:r>
      <w:r w:rsidR="00ED4F53">
        <w:t xml:space="preserve"> als Gefahrstoffe </w:t>
      </w:r>
      <w:r w:rsidR="0001020A">
        <w:t>unklar</w:t>
      </w:r>
      <w:r w:rsidR="00A64523">
        <w:t xml:space="preserve"> ist</w:t>
      </w:r>
      <w:r w:rsidR="00ED4F53">
        <w:t>.</w:t>
      </w:r>
      <w:r w:rsidR="00034AD0">
        <w:t xml:space="preserve"> Mindestens müss</w:t>
      </w:r>
      <w:r w:rsidR="00A64523">
        <w:t>t</w:t>
      </w:r>
      <w:r w:rsidR="00034AD0">
        <w:t>en</w:t>
      </w:r>
      <w:r w:rsidR="009962F9">
        <w:t xml:space="preserve"> </w:t>
      </w:r>
      <w:r w:rsidR="00A64523">
        <w:t xml:space="preserve">folglich </w:t>
      </w:r>
      <w:r w:rsidR="009962F9">
        <w:t>die bei TAB angelieferten</w:t>
      </w:r>
      <w:r w:rsidR="00034AD0">
        <w:t xml:space="preserve"> Abfälle an dieser Stelle eindeutig vom </w:t>
      </w:r>
      <w:r w:rsidR="00D43493">
        <w:t>Geltungsbereich ausgeschlossen werden.</w:t>
      </w:r>
      <w:r w:rsidR="00793E41">
        <w:t xml:space="preserve"> </w:t>
      </w:r>
      <w:r w:rsidR="00C64D47">
        <w:t xml:space="preserve">So ist </w:t>
      </w:r>
      <w:r w:rsidR="002927D9">
        <w:t xml:space="preserve">naturgemäß </w:t>
      </w:r>
      <w:r w:rsidR="00C64D47">
        <w:t xml:space="preserve">beispielsweise </w:t>
      </w:r>
      <w:r w:rsidR="005879CA">
        <w:t xml:space="preserve">weder </w:t>
      </w:r>
      <w:r w:rsidR="00C64D47">
        <w:t xml:space="preserve">eine </w:t>
      </w:r>
      <w:r w:rsidR="00C64D47">
        <w:lastRenderedPageBreak/>
        <w:t xml:space="preserve">Substitutionsprüfung </w:t>
      </w:r>
      <w:r w:rsidR="00440533">
        <w:t xml:space="preserve">noch eine Bestimmung bzw. Analyse bestimmter Stoffe </w:t>
      </w:r>
      <w:r w:rsidR="005962DC">
        <w:t xml:space="preserve">bei den bei TAB angelieferten Abfällen </w:t>
      </w:r>
      <w:r w:rsidR="00331423">
        <w:t>möglich</w:t>
      </w:r>
      <w:r w:rsidR="00B44508">
        <w:t>.</w:t>
      </w:r>
    </w:p>
    <w:p w14:paraId="3A16CD63" w14:textId="24859FB8" w:rsidR="00200479" w:rsidRDefault="00ED4F53" w:rsidP="00ED4F53">
      <w:r>
        <w:t>Nach dem aktuellen Entwurf müssen jedenfalls alle Gefahrstoffe aufgeführt werden, die „in der Anlage als solcher, als Bestandteil anderer Stoffe oder als Bestandteil von Gemischen“ vorhanden sind oder emittiert werden. Das schließt jedenfalls Abfälle nicht von vornherein aus.</w:t>
      </w:r>
    </w:p>
    <w:p w14:paraId="6531422B" w14:textId="13E8107D" w:rsidR="00FD2952" w:rsidRDefault="00FD2952">
      <w:pPr>
        <w:jc w:val="left"/>
      </w:pPr>
    </w:p>
    <w:sectPr w:rsidR="00FD2952" w:rsidSect="00522C73">
      <w:headerReference w:type="default" r:id="rId18"/>
      <w:footerReference w:type="default" r:id="rId19"/>
      <w:pgSz w:w="11906" w:h="16838"/>
      <w:pgMar w:top="1417" w:right="2125"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Dr. Bastian Wens" w:date="2025-01-14T12:24:00Z" w:initials="BW">
    <w:p w14:paraId="26C7E1C6" w14:textId="77777777" w:rsidR="00F17F41" w:rsidRDefault="00F17F41" w:rsidP="00F17F41">
      <w:pPr>
        <w:pStyle w:val="Kommentartext"/>
        <w:jc w:val="left"/>
      </w:pPr>
      <w:r>
        <w:rPr>
          <w:rStyle w:val="Kommentarzeichen"/>
        </w:rPr>
        <w:annotationRef/>
      </w:r>
      <w:r>
        <w:t>Kann das relevant für TAB sein? Ggf. für einige Standorte, die z.B. mit konventionellen Kraftwerken zusammenhängen.</w:t>
      </w:r>
    </w:p>
  </w:comment>
  <w:comment w:id="16" w:author="Dr. Bastian Wens" w:date="2025-01-14T12:05:00Z" w:initials="BW">
    <w:p w14:paraId="5F33393B" w14:textId="77777777" w:rsidR="00C71000" w:rsidRDefault="00C71000" w:rsidP="00C71000">
      <w:pPr>
        <w:pStyle w:val="Kommentartext"/>
        <w:jc w:val="left"/>
      </w:pPr>
      <w:r>
        <w:rPr>
          <w:rStyle w:val="Kommentarzeichen"/>
        </w:rPr>
        <w:annotationRef/>
      </w:r>
      <w:r>
        <w:t>Zusätzlich Text vom BDI bzgl. Ausnahmefälle. Muss noch eingepflegt und ggf. in Kontext gebracht werden.</w:t>
      </w:r>
    </w:p>
  </w:comment>
  <w:comment w:id="22" w:author="Dr. Bastian Wens" w:date="2025-01-13T17:17:00Z" w:initials="BW">
    <w:p w14:paraId="7734FF2E" w14:textId="77777777" w:rsidR="00E546A1" w:rsidRDefault="00512C72" w:rsidP="00E546A1">
      <w:pPr>
        <w:pStyle w:val="Kommentartext"/>
        <w:jc w:val="left"/>
      </w:pPr>
      <w:r>
        <w:rPr>
          <w:rStyle w:val="Kommentarzeichen"/>
        </w:rPr>
        <w:annotationRef/>
      </w:r>
      <w:r w:rsidR="00E546A1">
        <w:t>Textpassage des BDSAV; für TAB ebenfalls in Frage stellen, ob ein Transformationsplan erforderlich ist?</w:t>
      </w:r>
    </w:p>
    <w:p w14:paraId="472E7E8D" w14:textId="77777777" w:rsidR="00E546A1" w:rsidRDefault="00E546A1" w:rsidP="00E546A1">
      <w:pPr>
        <w:pStyle w:val="Kommentartext"/>
        <w:jc w:val="left"/>
      </w:pPr>
    </w:p>
    <w:p w14:paraId="4D5CABF9" w14:textId="77777777" w:rsidR="00E546A1" w:rsidRDefault="00E546A1" w:rsidP="00E546A1">
      <w:pPr>
        <w:pStyle w:val="Kommentartext"/>
        <w:jc w:val="left"/>
      </w:pPr>
      <w:r>
        <w:t>Einschätzung BW: Strategisch nicht klug, Transformationsplan kann mitunter sinnvoll in Bezug auf die Zukunftsfähigkeit der Standorte sein.</w:t>
      </w:r>
    </w:p>
  </w:comment>
  <w:comment w:id="27" w:author="Dr. Bastian Wens" w:date="2025-01-14T13:36:00Z" w:initials="BW">
    <w:p w14:paraId="5F280AAD" w14:textId="77777777" w:rsidR="00553E47" w:rsidRDefault="00CE469E" w:rsidP="00553E47">
      <w:pPr>
        <w:pStyle w:val="Kommentartext"/>
        <w:jc w:val="left"/>
      </w:pPr>
      <w:r>
        <w:rPr>
          <w:rStyle w:val="Kommentarzeichen"/>
        </w:rPr>
        <w:annotationRef/>
      </w:r>
      <w:r w:rsidR="00553E47">
        <w:t xml:space="preserve">Zur einfachen Nachvollziehbarkeit im Entwurf sind nachfolgend die Ausführungen von BDI aufgeführt.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C7E1C6" w15:done="0"/>
  <w15:commentEx w15:paraId="5F33393B" w15:done="0"/>
  <w15:commentEx w15:paraId="4D5CABF9" w15:done="0"/>
  <w15:commentEx w15:paraId="5F280A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8E2B5D" w16cex:dateUtc="2025-01-14T11:24:00Z"/>
  <w16cex:commentExtensible w16cex:durableId="1BB609D9" w16cex:dateUtc="2025-01-14T11:05:00Z"/>
  <w16cex:commentExtensible w16cex:durableId="426A3F44" w16cex:dateUtc="2025-01-13T16:17:00Z"/>
  <w16cex:commentExtensible w16cex:durableId="36ED569B" w16cex:dateUtc="2025-01-14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C7E1C6" w16cid:durableId="078E2B5D"/>
  <w16cid:commentId w16cid:paraId="5F33393B" w16cid:durableId="1BB609D9"/>
  <w16cid:commentId w16cid:paraId="4D5CABF9" w16cid:durableId="426A3F44"/>
  <w16cid:commentId w16cid:paraId="5F280AAD" w16cid:durableId="36ED56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15F22" w14:textId="77777777" w:rsidR="00F16184" w:rsidRDefault="00F16184" w:rsidP="00441DD9">
      <w:pPr>
        <w:spacing w:after="0" w:line="240" w:lineRule="auto"/>
      </w:pPr>
      <w:r>
        <w:separator/>
      </w:r>
    </w:p>
  </w:endnote>
  <w:endnote w:type="continuationSeparator" w:id="0">
    <w:p w14:paraId="283C4C36" w14:textId="77777777" w:rsidR="00F16184" w:rsidRDefault="00F16184" w:rsidP="00441DD9">
      <w:pPr>
        <w:spacing w:after="0" w:line="240" w:lineRule="auto"/>
      </w:pPr>
      <w:r>
        <w:continuationSeparator/>
      </w:r>
    </w:p>
  </w:endnote>
  <w:endnote w:type="continuationNotice" w:id="1">
    <w:p w14:paraId="5C191D01" w14:textId="77777777" w:rsidR="00F16184" w:rsidRDefault="00F16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leto">
    <w:altName w:val="Calibri"/>
    <w:panose1 w:val="00000000000000000000"/>
    <w:charset w:val="00"/>
    <w:family w:val="swiss"/>
    <w:notTrueType/>
    <w:pitch w:val="default"/>
    <w:sig w:usb0="00000003" w:usb1="00000000" w:usb2="00000000" w:usb3="00000000" w:csb0="00000001" w:csb1="00000000"/>
  </w:font>
  <w:font w:name="Open Sans Light">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209309"/>
      <w:docPartObj>
        <w:docPartGallery w:val="Page Numbers (Bottom of Page)"/>
        <w:docPartUnique/>
      </w:docPartObj>
    </w:sdtPr>
    <w:sdtContent>
      <w:sdt>
        <w:sdtPr>
          <w:id w:val="-1769616900"/>
          <w:docPartObj>
            <w:docPartGallery w:val="Page Numbers (Top of Page)"/>
            <w:docPartUnique/>
          </w:docPartObj>
        </w:sdtPr>
        <w:sdtContent>
          <w:p w14:paraId="03EF880B" w14:textId="20D2D327" w:rsidR="00F9684C" w:rsidRDefault="00F9684C">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37502" w14:textId="77777777" w:rsidR="00F16184" w:rsidRDefault="00F16184" w:rsidP="00441DD9">
      <w:pPr>
        <w:spacing w:after="0" w:line="240" w:lineRule="auto"/>
      </w:pPr>
      <w:r>
        <w:separator/>
      </w:r>
    </w:p>
  </w:footnote>
  <w:footnote w:type="continuationSeparator" w:id="0">
    <w:p w14:paraId="020E48F1" w14:textId="77777777" w:rsidR="00F16184" w:rsidRDefault="00F16184" w:rsidP="00441DD9">
      <w:pPr>
        <w:spacing w:after="0" w:line="240" w:lineRule="auto"/>
      </w:pPr>
      <w:r>
        <w:continuationSeparator/>
      </w:r>
    </w:p>
  </w:footnote>
  <w:footnote w:type="continuationNotice" w:id="1">
    <w:p w14:paraId="18DE2DDC" w14:textId="77777777" w:rsidR="00F16184" w:rsidRDefault="00F161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3758414"/>
      <w:docPartObj>
        <w:docPartGallery w:val="Watermarks"/>
        <w:docPartUnique/>
      </w:docPartObj>
    </w:sdtPr>
    <w:sdtContent>
      <w:p w14:paraId="6522887D" w14:textId="6317846F" w:rsidR="00104CB3" w:rsidRDefault="00000000" w:rsidP="00E679A0">
        <w:pPr>
          <w:pStyle w:val="Kopfzeile"/>
          <w:tabs>
            <w:tab w:val="left" w:pos="1230"/>
          </w:tabs>
        </w:pPr>
        <w:r>
          <w:pict w14:anchorId="295FA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sdtContent>
  </w:sdt>
  <w:p w14:paraId="08C15D6B" w14:textId="4089AB8E" w:rsidR="00104CB3" w:rsidRDefault="00104CB3" w:rsidP="00E679A0">
    <w:pPr>
      <w:pStyle w:val="Kopfzeile"/>
      <w:tabs>
        <w:tab w:val="left" w:pos="1230"/>
      </w:tabs>
    </w:pPr>
    <w:r>
      <w:t xml:space="preserve">Düsseldorf, </w:t>
    </w:r>
    <w:r w:rsidR="00727D86">
      <w:t>1</w:t>
    </w:r>
    <w:r w:rsidR="00745D17">
      <w:t>7.</w:t>
    </w:r>
    <w:r w:rsidR="00727D86">
      <w:t>0</w:t>
    </w:r>
    <w:r w:rsidR="00745D17">
      <w:t>1.202</w:t>
    </w:r>
    <w:r w:rsidR="00727D86">
      <w:t>5</w:t>
    </w:r>
  </w:p>
  <w:p w14:paraId="2F9001D4" w14:textId="77777777" w:rsidR="00D622F6" w:rsidRDefault="00D622F6" w:rsidP="00E679A0">
    <w:pPr>
      <w:pStyle w:val="Kopfzeile"/>
      <w:tabs>
        <w:tab w:val="left" w:pos="1230"/>
      </w:tabs>
    </w:pPr>
  </w:p>
  <w:p w14:paraId="7CF62828" w14:textId="77777777" w:rsidR="00D622F6" w:rsidRDefault="00D622F6" w:rsidP="00E679A0">
    <w:pPr>
      <w:pStyle w:val="Kopfzeile"/>
      <w:tabs>
        <w:tab w:val="left" w:pos="1230"/>
      </w:tabs>
    </w:pPr>
  </w:p>
  <w:p w14:paraId="5863EA80" w14:textId="77777777" w:rsidR="00104CB3" w:rsidRDefault="00104CB3" w:rsidP="00E679A0">
    <w:pPr>
      <w:pStyle w:val="Kopfzeile"/>
      <w:tabs>
        <w:tab w:val="left" w:pos="1230"/>
      </w:tabs>
    </w:pPr>
  </w:p>
  <w:p w14:paraId="3F25954E" w14:textId="1FD4D815" w:rsidR="00E679A0" w:rsidRDefault="00104CB3" w:rsidP="00E679A0">
    <w:pPr>
      <w:pStyle w:val="Kopfzeile"/>
      <w:tabs>
        <w:tab w:val="left" w:pos="1230"/>
      </w:tabs>
    </w:pPr>
    <w:r>
      <w:rPr>
        <w:noProof/>
        <w:lang w:eastAsia="de-DE"/>
      </w:rPr>
      <w:drawing>
        <wp:anchor distT="0" distB="0" distL="114300" distR="114300" simplePos="0" relativeHeight="251657728" behindDoc="0" locked="0" layoutInCell="1" allowOverlap="1" wp14:anchorId="751087D3" wp14:editId="60D5DEFA">
          <wp:simplePos x="0" y="0"/>
          <wp:positionH relativeFrom="margin">
            <wp:posOffset>1482</wp:posOffset>
          </wp:positionH>
          <wp:positionV relativeFrom="paragraph">
            <wp:posOffset>87630</wp:posOffset>
          </wp:positionV>
          <wp:extent cx="4464000" cy="162000"/>
          <wp:effectExtent l="0" t="0" r="0" b="9525"/>
          <wp:wrapNone/>
          <wp:docPr id="17" name="Bild 7" descr="tr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e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4000" cy="1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BC4D2" w14:textId="7417B936" w:rsidR="009D5701" w:rsidRPr="00E679A0" w:rsidRDefault="00E679A0" w:rsidP="00E679A0">
    <w:pPr>
      <w:pStyle w:val="Kopfzeile"/>
      <w:tabs>
        <w:tab w:val="left" w:pos="1230"/>
      </w:tabs>
      <w:rPr>
        <w:b/>
        <w:bCs/>
        <w:sz w:val="24"/>
        <w:szCs w:val="24"/>
      </w:rPr>
    </w:pPr>
    <w:r w:rsidRPr="00E679A0">
      <w:rPr>
        <w:b/>
        <w:bCs/>
        <w:sz w:val="24"/>
        <w:szCs w:val="24"/>
      </w:rPr>
      <w:tab/>
    </w:r>
    <w:r w:rsidRPr="00E679A0">
      <w:rPr>
        <w:b/>
        <w:bCs/>
        <w:sz w:val="24"/>
        <w:szCs w:val="24"/>
      </w:rPr>
      <w:tab/>
    </w:r>
    <w:r w:rsidRPr="00E679A0">
      <w:rPr>
        <w:b/>
        <w:bCs/>
        <w:noProof/>
        <w:sz w:val="24"/>
        <w:szCs w:val="24"/>
        <w:lang w:eastAsia="de-DE"/>
      </w:rPr>
      <w:drawing>
        <wp:anchor distT="0" distB="0" distL="114300" distR="114300" simplePos="0" relativeHeight="251656704" behindDoc="1" locked="1" layoutInCell="1" allowOverlap="1" wp14:anchorId="28AE52EA" wp14:editId="15DF5BE1">
          <wp:simplePos x="0" y="0"/>
          <wp:positionH relativeFrom="page">
            <wp:posOffset>0</wp:posOffset>
          </wp:positionH>
          <wp:positionV relativeFrom="page">
            <wp:posOffset>6350</wp:posOffset>
          </wp:positionV>
          <wp:extent cx="7559675" cy="1296670"/>
          <wp:effectExtent l="0" t="0" r="3175" b="0"/>
          <wp:wrapNone/>
          <wp:docPr id="1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1111_bp_2"/>
                  <pic:cNvPicPr>
                    <a:picLocks noChangeAspect="1" noChangeArrowheads="1"/>
                  </pic:cNvPicPr>
                </pic:nvPicPr>
                <pic:blipFill rotWithShape="1">
                  <a:blip r:embed="rId2">
                    <a:extLst>
                      <a:ext uri="{28A0092B-C50C-407E-A947-70E740481C1C}">
                        <a14:useLocalDpi xmlns:a14="http://schemas.microsoft.com/office/drawing/2010/main" val="0"/>
                      </a:ext>
                    </a:extLst>
                  </a:blip>
                  <a:srcRect b="87855"/>
                  <a:stretch/>
                </pic:blipFill>
                <pic:spPr bwMode="auto">
                  <a:xfrm>
                    <a:off x="0" y="0"/>
                    <a:ext cx="7559675" cy="1296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514"/>
    <w:multiLevelType w:val="hybridMultilevel"/>
    <w:tmpl w:val="EFDEB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213B7D"/>
    <w:multiLevelType w:val="hybridMultilevel"/>
    <w:tmpl w:val="BCC8BAB6"/>
    <w:lvl w:ilvl="0" w:tplc="6DE2F716">
      <w:start w:val="1"/>
      <w:numFmt w:val="bullet"/>
      <w:lvlText w:val=""/>
      <w:lvlJc w:val="left"/>
      <w:pPr>
        <w:tabs>
          <w:tab w:val="num" w:pos="720"/>
        </w:tabs>
        <w:ind w:left="720" w:hanging="360"/>
      </w:pPr>
      <w:rPr>
        <w:rFonts w:ascii="Wingdings" w:hAnsi="Wingdings" w:hint="default"/>
      </w:rPr>
    </w:lvl>
    <w:lvl w:ilvl="1" w:tplc="9DFE97E4" w:tentative="1">
      <w:start w:val="1"/>
      <w:numFmt w:val="bullet"/>
      <w:lvlText w:val=""/>
      <w:lvlJc w:val="left"/>
      <w:pPr>
        <w:tabs>
          <w:tab w:val="num" w:pos="1440"/>
        </w:tabs>
        <w:ind w:left="1440" w:hanging="360"/>
      </w:pPr>
      <w:rPr>
        <w:rFonts w:ascii="Wingdings" w:hAnsi="Wingdings" w:hint="default"/>
      </w:rPr>
    </w:lvl>
    <w:lvl w:ilvl="2" w:tplc="A2763B14" w:tentative="1">
      <w:start w:val="1"/>
      <w:numFmt w:val="bullet"/>
      <w:lvlText w:val=""/>
      <w:lvlJc w:val="left"/>
      <w:pPr>
        <w:tabs>
          <w:tab w:val="num" w:pos="2160"/>
        </w:tabs>
        <w:ind w:left="2160" w:hanging="360"/>
      </w:pPr>
      <w:rPr>
        <w:rFonts w:ascii="Wingdings" w:hAnsi="Wingdings" w:hint="default"/>
      </w:rPr>
    </w:lvl>
    <w:lvl w:ilvl="3" w:tplc="C972B964" w:tentative="1">
      <w:start w:val="1"/>
      <w:numFmt w:val="bullet"/>
      <w:lvlText w:val=""/>
      <w:lvlJc w:val="left"/>
      <w:pPr>
        <w:tabs>
          <w:tab w:val="num" w:pos="2880"/>
        </w:tabs>
        <w:ind w:left="2880" w:hanging="360"/>
      </w:pPr>
      <w:rPr>
        <w:rFonts w:ascii="Wingdings" w:hAnsi="Wingdings" w:hint="default"/>
      </w:rPr>
    </w:lvl>
    <w:lvl w:ilvl="4" w:tplc="B858B38E" w:tentative="1">
      <w:start w:val="1"/>
      <w:numFmt w:val="bullet"/>
      <w:lvlText w:val=""/>
      <w:lvlJc w:val="left"/>
      <w:pPr>
        <w:tabs>
          <w:tab w:val="num" w:pos="3600"/>
        </w:tabs>
        <w:ind w:left="3600" w:hanging="360"/>
      </w:pPr>
      <w:rPr>
        <w:rFonts w:ascii="Wingdings" w:hAnsi="Wingdings" w:hint="default"/>
      </w:rPr>
    </w:lvl>
    <w:lvl w:ilvl="5" w:tplc="CE705624" w:tentative="1">
      <w:start w:val="1"/>
      <w:numFmt w:val="bullet"/>
      <w:lvlText w:val=""/>
      <w:lvlJc w:val="left"/>
      <w:pPr>
        <w:tabs>
          <w:tab w:val="num" w:pos="4320"/>
        </w:tabs>
        <w:ind w:left="4320" w:hanging="360"/>
      </w:pPr>
      <w:rPr>
        <w:rFonts w:ascii="Wingdings" w:hAnsi="Wingdings" w:hint="default"/>
      </w:rPr>
    </w:lvl>
    <w:lvl w:ilvl="6" w:tplc="33E0630C" w:tentative="1">
      <w:start w:val="1"/>
      <w:numFmt w:val="bullet"/>
      <w:lvlText w:val=""/>
      <w:lvlJc w:val="left"/>
      <w:pPr>
        <w:tabs>
          <w:tab w:val="num" w:pos="5040"/>
        </w:tabs>
        <w:ind w:left="5040" w:hanging="360"/>
      </w:pPr>
      <w:rPr>
        <w:rFonts w:ascii="Wingdings" w:hAnsi="Wingdings" w:hint="default"/>
      </w:rPr>
    </w:lvl>
    <w:lvl w:ilvl="7" w:tplc="2ED046FE" w:tentative="1">
      <w:start w:val="1"/>
      <w:numFmt w:val="bullet"/>
      <w:lvlText w:val=""/>
      <w:lvlJc w:val="left"/>
      <w:pPr>
        <w:tabs>
          <w:tab w:val="num" w:pos="5760"/>
        </w:tabs>
        <w:ind w:left="5760" w:hanging="360"/>
      </w:pPr>
      <w:rPr>
        <w:rFonts w:ascii="Wingdings" w:hAnsi="Wingdings" w:hint="default"/>
      </w:rPr>
    </w:lvl>
    <w:lvl w:ilvl="8" w:tplc="08DAD3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5F0"/>
    <w:multiLevelType w:val="hybridMultilevel"/>
    <w:tmpl w:val="0CD6D3AA"/>
    <w:lvl w:ilvl="0" w:tplc="9672323C">
      <w:start w:val="1"/>
      <w:numFmt w:val="bullet"/>
      <w:lvlText w:val=""/>
      <w:lvlJc w:val="left"/>
      <w:pPr>
        <w:ind w:left="720" w:hanging="360"/>
      </w:pPr>
      <w:rPr>
        <w:rFonts w:ascii="Symbol" w:hAnsi="Symbol"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515BD6"/>
    <w:multiLevelType w:val="hybridMultilevel"/>
    <w:tmpl w:val="B5120B14"/>
    <w:lvl w:ilvl="0" w:tplc="9672323C">
      <w:start w:val="1"/>
      <w:numFmt w:val="bullet"/>
      <w:lvlText w:val=""/>
      <w:lvlJc w:val="left"/>
      <w:pPr>
        <w:ind w:left="720" w:hanging="360"/>
      </w:pPr>
      <w:rPr>
        <w:rFonts w:ascii="Symbol" w:hAnsi="Symbol"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AE27FF"/>
    <w:multiLevelType w:val="hybridMultilevel"/>
    <w:tmpl w:val="3DE84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973769"/>
    <w:multiLevelType w:val="hybridMultilevel"/>
    <w:tmpl w:val="1F44E8E6"/>
    <w:lvl w:ilvl="0" w:tplc="9672323C">
      <w:start w:val="1"/>
      <w:numFmt w:val="bullet"/>
      <w:lvlText w:val=""/>
      <w:lvlJc w:val="left"/>
      <w:pPr>
        <w:ind w:left="720" w:hanging="360"/>
      </w:pPr>
      <w:rPr>
        <w:rFonts w:ascii="Symbol" w:hAnsi="Symbol"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CD3967"/>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688C035E"/>
    <w:multiLevelType w:val="hybridMultilevel"/>
    <w:tmpl w:val="D960B32C"/>
    <w:lvl w:ilvl="0" w:tplc="ABE4C5E4">
      <w:start w:val="1"/>
      <w:numFmt w:val="bullet"/>
      <w:lvlText w:val=""/>
      <w:lvlJc w:val="left"/>
      <w:pPr>
        <w:ind w:left="720" w:hanging="360"/>
      </w:pPr>
      <w:rPr>
        <w:rFonts w:ascii="Symbol" w:hAnsi="Symbol" w:hint="default"/>
        <w:color w:val="92D050"/>
        <w:sz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4E07BA"/>
    <w:multiLevelType w:val="hybridMultilevel"/>
    <w:tmpl w:val="26DE9590"/>
    <w:lvl w:ilvl="0" w:tplc="ABE4C5E4">
      <w:start w:val="1"/>
      <w:numFmt w:val="bullet"/>
      <w:lvlText w:val=""/>
      <w:lvlJc w:val="left"/>
      <w:pPr>
        <w:ind w:left="720" w:hanging="360"/>
      </w:pPr>
      <w:rPr>
        <w:rFonts w:ascii="Symbol" w:hAnsi="Symbol" w:hint="default"/>
        <w:color w:val="92D050"/>
        <w:sz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E94808"/>
    <w:multiLevelType w:val="hybridMultilevel"/>
    <w:tmpl w:val="55B0D34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E5597F"/>
    <w:multiLevelType w:val="hybridMultilevel"/>
    <w:tmpl w:val="46300FE4"/>
    <w:lvl w:ilvl="0" w:tplc="E49E3656">
      <w:start w:val="1"/>
      <w:numFmt w:val="bullet"/>
      <w:lvlText w:val=""/>
      <w:lvlJc w:val="left"/>
      <w:pPr>
        <w:tabs>
          <w:tab w:val="num" w:pos="720"/>
        </w:tabs>
        <w:ind w:left="720" w:hanging="360"/>
      </w:pPr>
      <w:rPr>
        <w:rFonts w:ascii="Wingdings" w:hAnsi="Wingdings" w:hint="default"/>
      </w:rPr>
    </w:lvl>
    <w:lvl w:ilvl="1" w:tplc="06A2F196" w:tentative="1">
      <w:start w:val="1"/>
      <w:numFmt w:val="bullet"/>
      <w:lvlText w:val=""/>
      <w:lvlJc w:val="left"/>
      <w:pPr>
        <w:tabs>
          <w:tab w:val="num" w:pos="1440"/>
        </w:tabs>
        <w:ind w:left="1440" w:hanging="360"/>
      </w:pPr>
      <w:rPr>
        <w:rFonts w:ascii="Wingdings" w:hAnsi="Wingdings" w:hint="default"/>
      </w:rPr>
    </w:lvl>
    <w:lvl w:ilvl="2" w:tplc="A8CAFE6E" w:tentative="1">
      <w:start w:val="1"/>
      <w:numFmt w:val="bullet"/>
      <w:lvlText w:val=""/>
      <w:lvlJc w:val="left"/>
      <w:pPr>
        <w:tabs>
          <w:tab w:val="num" w:pos="2160"/>
        </w:tabs>
        <w:ind w:left="2160" w:hanging="360"/>
      </w:pPr>
      <w:rPr>
        <w:rFonts w:ascii="Wingdings" w:hAnsi="Wingdings" w:hint="default"/>
      </w:rPr>
    </w:lvl>
    <w:lvl w:ilvl="3" w:tplc="828CB862" w:tentative="1">
      <w:start w:val="1"/>
      <w:numFmt w:val="bullet"/>
      <w:lvlText w:val=""/>
      <w:lvlJc w:val="left"/>
      <w:pPr>
        <w:tabs>
          <w:tab w:val="num" w:pos="2880"/>
        </w:tabs>
        <w:ind w:left="2880" w:hanging="360"/>
      </w:pPr>
      <w:rPr>
        <w:rFonts w:ascii="Wingdings" w:hAnsi="Wingdings" w:hint="default"/>
      </w:rPr>
    </w:lvl>
    <w:lvl w:ilvl="4" w:tplc="0AB632B2" w:tentative="1">
      <w:start w:val="1"/>
      <w:numFmt w:val="bullet"/>
      <w:lvlText w:val=""/>
      <w:lvlJc w:val="left"/>
      <w:pPr>
        <w:tabs>
          <w:tab w:val="num" w:pos="3600"/>
        </w:tabs>
        <w:ind w:left="3600" w:hanging="360"/>
      </w:pPr>
      <w:rPr>
        <w:rFonts w:ascii="Wingdings" w:hAnsi="Wingdings" w:hint="default"/>
      </w:rPr>
    </w:lvl>
    <w:lvl w:ilvl="5" w:tplc="3DF8A996" w:tentative="1">
      <w:start w:val="1"/>
      <w:numFmt w:val="bullet"/>
      <w:lvlText w:val=""/>
      <w:lvlJc w:val="left"/>
      <w:pPr>
        <w:tabs>
          <w:tab w:val="num" w:pos="4320"/>
        </w:tabs>
        <w:ind w:left="4320" w:hanging="360"/>
      </w:pPr>
      <w:rPr>
        <w:rFonts w:ascii="Wingdings" w:hAnsi="Wingdings" w:hint="default"/>
      </w:rPr>
    </w:lvl>
    <w:lvl w:ilvl="6" w:tplc="5DC238EC" w:tentative="1">
      <w:start w:val="1"/>
      <w:numFmt w:val="bullet"/>
      <w:lvlText w:val=""/>
      <w:lvlJc w:val="left"/>
      <w:pPr>
        <w:tabs>
          <w:tab w:val="num" w:pos="5040"/>
        </w:tabs>
        <w:ind w:left="5040" w:hanging="360"/>
      </w:pPr>
      <w:rPr>
        <w:rFonts w:ascii="Wingdings" w:hAnsi="Wingdings" w:hint="default"/>
      </w:rPr>
    </w:lvl>
    <w:lvl w:ilvl="7" w:tplc="2BD26540" w:tentative="1">
      <w:start w:val="1"/>
      <w:numFmt w:val="bullet"/>
      <w:lvlText w:val=""/>
      <w:lvlJc w:val="left"/>
      <w:pPr>
        <w:tabs>
          <w:tab w:val="num" w:pos="5760"/>
        </w:tabs>
        <w:ind w:left="5760" w:hanging="360"/>
      </w:pPr>
      <w:rPr>
        <w:rFonts w:ascii="Wingdings" w:hAnsi="Wingdings" w:hint="default"/>
      </w:rPr>
    </w:lvl>
    <w:lvl w:ilvl="8" w:tplc="CEDA32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3506BD"/>
    <w:multiLevelType w:val="hybridMultilevel"/>
    <w:tmpl w:val="40405AF6"/>
    <w:lvl w:ilvl="0" w:tplc="ABE4C5E4">
      <w:start w:val="1"/>
      <w:numFmt w:val="bullet"/>
      <w:lvlText w:val=""/>
      <w:lvlJc w:val="left"/>
      <w:pPr>
        <w:ind w:left="720" w:hanging="360"/>
      </w:pPr>
      <w:rPr>
        <w:rFonts w:ascii="Symbol" w:hAnsi="Symbol" w:hint="default"/>
        <w:color w:val="92D050"/>
        <w:sz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E4561F"/>
    <w:multiLevelType w:val="hybridMultilevel"/>
    <w:tmpl w:val="40849CF0"/>
    <w:lvl w:ilvl="0" w:tplc="526C930A">
      <w:start w:val="1"/>
      <w:numFmt w:val="bullet"/>
      <w:lvlText w:val=""/>
      <w:lvlJc w:val="left"/>
      <w:pPr>
        <w:tabs>
          <w:tab w:val="num" w:pos="720"/>
        </w:tabs>
        <w:ind w:left="720" w:hanging="360"/>
      </w:pPr>
      <w:rPr>
        <w:rFonts w:ascii="Wingdings" w:hAnsi="Wingdings" w:hint="default"/>
      </w:rPr>
    </w:lvl>
    <w:lvl w:ilvl="1" w:tplc="949A656E" w:tentative="1">
      <w:start w:val="1"/>
      <w:numFmt w:val="bullet"/>
      <w:lvlText w:val=""/>
      <w:lvlJc w:val="left"/>
      <w:pPr>
        <w:tabs>
          <w:tab w:val="num" w:pos="1440"/>
        </w:tabs>
        <w:ind w:left="1440" w:hanging="360"/>
      </w:pPr>
      <w:rPr>
        <w:rFonts w:ascii="Wingdings" w:hAnsi="Wingdings" w:hint="default"/>
      </w:rPr>
    </w:lvl>
    <w:lvl w:ilvl="2" w:tplc="BF30368A" w:tentative="1">
      <w:start w:val="1"/>
      <w:numFmt w:val="bullet"/>
      <w:lvlText w:val=""/>
      <w:lvlJc w:val="left"/>
      <w:pPr>
        <w:tabs>
          <w:tab w:val="num" w:pos="2160"/>
        </w:tabs>
        <w:ind w:left="2160" w:hanging="360"/>
      </w:pPr>
      <w:rPr>
        <w:rFonts w:ascii="Wingdings" w:hAnsi="Wingdings" w:hint="default"/>
      </w:rPr>
    </w:lvl>
    <w:lvl w:ilvl="3" w:tplc="A852F8CA" w:tentative="1">
      <w:start w:val="1"/>
      <w:numFmt w:val="bullet"/>
      <w:lvlText w:val=""/>
      <w:lvlJc w:val="left"/>
      <w:pPr>
        <w:tabs>
          <w:tab w:val="num" w:pos="2880"/>
        </w:tabs>
        <w:ind w:left="2880" w:hanging="360"/>
      </w:pPr>
      <w:rPr>
        <w:rFonts w:ascii="Wingdings" w:hAnsi="Wingdings" w:hint="default"/>
      </w:rPr>
    </w:lvl>
    <w:lvl w:ilvl="4" w:tplc="2118010E" w:tentative="1">
      <w:start w:val="1"/>
      <w:numFmt w:val="bullet"/>
      <w:lvlText w:val=""/>
      <w:lvlJc w:val="left"/>
      <w:pPr>
        <w:tabs>
          <w:tab w:val="num" w:pos="3600"/>
        </w:tabs>
        <w:ind w:left="3600" w:hanging="360"/>
      </w:pPr>
      <w:rPr>
        <w:rFonts w:ascii="Wingdings" w:hAnsi="Wingdings" w:hint="default"/>
      </w:rPr>
    </w:lvl>
    <w:lvl w:ilvl="5" w:tplc="E79862A0" w:tentative="1">
      <w:start w:val="1"/>
      <w:numFmt w:val="bullet"/>
      <w:lvlText w:val=""/>
      <w:lvlJc w:val="left"/>
      <w:pPr>
        <w:tabs>
          <w:tab w:val="num" w:pos="4320"/>
        </w:tabs>
        <w:ind w:left="4320" w:hanging="360"/>
      </w:pPr>
      <w:rPr>
        <w:rFonts w:ascii="Wingdings" w:hAnsi="Wingdings" w:hint="default"/>
      </w:rPr>
    </w:lvl>
    <w:lvl w:ilvl="6" w:tplc="2B829E0C" w:tentative="1">
      <w:start w:val="1"/>
      <w:numFmt w:val="bullet"/>
      <w:lvlText w:val=""/>
      <w:lvlJc w:val="left"/>
      <w:pPr>
        <w:tabs>
          <w:tab w:val="num" w:pos="5040"/>
        </w:tabs>
        <w:ind w:left="5040" w:hanging="360"/>
      </w:pPr>
      <w:rPr>
        <w:rFonts w:ascii="Wingdings" w:hAnsi="Wingdings" w:hint="default"/>
      </w:rPr>
    </w:lvl>
    <w:lvl w:ilvl="7" w:tplc="B6C4284A" w:tentative="1">
      <w:start w:val="1"/>
      <w:numFmt w:val="bullet"/>
      <w:lvlText w:val=""/>
      <w:lvlJc w:val="left"/>
      <w:pPr>
        <w:tabs>
          <w:tab w:val="num" w:pos="5760"/>
        </w:tabs>
        <w:ind w:left="5760" w:hanging="360"/>
      </w:pPr>
      <w:rPr>
        <w:rFonts w:ascii="Wingdings" w:hAnsi="Wingdings" w:hint="default"/>
      </w:rPr>
    </w:lvl>
    <w:lvl w:ilvl="8" w:tplc="EE4ED8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9D0C67"/>
    <w:multiLevelType w:val="hybridMultilevel"/>
    <w:tmpl w:val="FFFAA3D4"/>
    <w:lvl w:ilvl="0" w:tplc="6F545326">
      <w:start w:val="1"/>
      <w:numFmt w:val="bullet"/>
      <w:lvlText w:val=""/>
      <w:lvlJc w:val="left"/>
      <w:pPr>
        <w:tabs>
          <w:tab w:val="num" w:pos="720"/>
        </w:tabs>
        <w:ind w:left="720" w:hanging="360"/>
      </w:pPr>
      <w:rPr>
        <w:rFonts w:ascii="Wingdings" w:hAnsi="Wingdings" w:hint="default"/>
      </w:rPr>
    </w:lvl>
    <w:lvl w:ilvl="1" w:tplc="4AC4AF02" w:tentative="1">
      <w:start w:val="1"/>
      <w:numFmt w:val="bullet"/>
      <w:lvlText w:val=""/>
      <w:lvlJc w:val="left"/>
      <w:pPr>
        <w:tabs>
          <w:tab w:val="num" w:pos="1440"/>
        </w:tabs>
        <w:ind w:left="1440" w:hanging="360"/>
      </w:pPr>
      <w:rPr>
        <w:rFonts w:ascii="Wingdings" w:hAnsi="Wingdings" w:hint="default"/>
      </w:rPr>
    </w:lvl>
    <w:lvl w:ilvl="2" w:tplc="651ECE24" w:tentative="1">
      <w:start w:val="1"/>
      <w:numFmt w:val="bullet"/>
      <w:lvlText w:val=""/>
      <w:lvlJc w:val="left"/>
      <w:pPr>
        <w:tabs>
          <w:tab w:val="num" w:pos="2160"/>
        </w:tabs>
        <w:ind w:left="2160" w:hanging="360"/>
      </w:pPr>
      <w:rPr>
        <w:rFonts w:ascii="Wingdings" w:hAnsi="Wingdings" w:hint="default"/>
      </w:rPr>
    </w:lvl>
    <w:lvl w:ilvl="3" w:tplc="C8E82862" w:tentative="1">
      <w:start w:val="1"/>
      <w:numFmt w:val="bullet"/>
      <w:lvlText w:val=""/>
      <w:lvlJc w:val="left"/>
      <w:pPr>
        <w:tabs>
          <w:tab w:val="num" w:pos="2880"/>
        </w:tabs>
        <w:ind w:left="2880" w:hanging="360"/>
      </w:pPr>
      <w:rPr>
        <w:rFonts w:ascii="Wingdings" w:hAnsi="Wingdings" w:hint="default"/>
      </w:rPr>
    </w:lvl>
    <w:lvl w:ilvl="4" w:tplc="C5B0AC48" w:tentative="1">
      <w:start w:val="1"/>
      <w:numFmt w:val="bullet"/>
      <w:lvlText w:val=""/>
      <w:lvlJc w:val="left"/>
      <w:pPr>
        <w:tabs>
          <w:tab w:val="num" w:pos="3600"/>
        </w:tabs>
        <w:ind w:left="3600" w:hanging="360"/>
      </w:pPr>
      <w:rPr>
        <w:rFonts w:ascii="Wingdings" w:hAnsi="Wingdings" w:hint="default"/>
      </w:rPr>
    </w:lvl>
    <w:lvl w:ilvl="5" w:tplc="C59C86B6" w:tentative="1">
      <w:start w:val="1"/>
      <w:numFmt w:val="bullet"/>
      <w:lvlText w:val=""/>
      <w:lvlJc w:val="left"/>
      <w:pPr>
        <w:tabs>
          <w:tab w:val="num" w:pos="4320"/>
        </w:tabs>
        <w:ind w:left="4320" w:hanging="360"/>
      </w:pPr>
      <w:rPr>
        <w:rFonts w:ascii="Wingdings" w:hAnsi="Wingdings" w:hint="default"/>
      </w:rPr>
    </w:lvl>
    <w:lvl w:ilvl="6" w:tplc="925417E2" w:tentative="1">
      <w:start w:val="1"/>
      <w:numFmt w:val="bullet"/>
      <w:lvlText w:val=""/>
      <w:lvlJc w:val="left"/>
      <w:pPr>
        <w:tabs>
          <w:tab w:val="num" w:pos="5040"/>
        </w:tabs>
        <w:ind w:left="5040" w:hanging="360"/>
      </w:pPr>
      <w:rPr>
        <w:rFonts w:ascii="Wingdings" w:hAnsi="Wingdings" w:hint="default"/>
      </w:rPr>
    </w:lvl>
    <w:lvl w:ilvl="7" w:tplc="97F0705C" w:tentative="1">
      <w:start w:val="1"/>
      <w:numFmt w:val="bullet"/>
      <w:lvlText w:val=""/>
      <w:lvlJc w:val="left"/>
      <w:pPr>
        <w:tabs>
          <w:tab w:val="num" w:pos="5760"/>
        </w:tabs>
        <w:ind w:left="5760" w:hanging="360"/>
      </w:pPr>
      <w:rPr>
        <w:rFonts w:ascii="Wingdings" w:hAnsi="Wingdings" w:hint="default"/>
      </w:rPr>
    </w:lvl>
    <w:lvl w:ilvl="8" w:tplc="E3D897BE" w:tentative="1">
      <w:start w:val="1"/>
      <w:numFmt w:val="bullet"/>
      <w:lvlText w:val=""/>
      <w:lvlJc w:val="left"/>
      <w:pPr>
        <w:tabs>
          <w:tab w:val="num" w:pos="6480"/>
        </w:tabs>
        <w:ind w:left="6480" w:hanging="360"/>
      </w:pPr>
      <w:rPr>
        <w:rFonts w:ascii="Wingdings" w:hAnsi="Wingdings" w:hint="default"/>
      </w:rPr>
    </w:lvl>
  </w:abstractNum>
  <w:num w:numId="1" w16cid:durableId="49697530">
    <w:abstractNumId w:val="9"/>
  </w:num>
  <w:num w:numId="2" w16cid:durableId="569388697">
    <w:abstractNumId w:val="13"/>
  </w:num>
  <w:num w:numId="3" w16cid:durableId="1959532643">
    <w:abstractNumId w:val="10"/>
  </w:num>
  <w:num w:numId="4" w16cid:durableId="237402093">
    <w:abstractNumId w:val="1"/>
  </w:num>
  <w:num w:numId="5" w16cid:durableId="324628221">
    <w:abstractNumId w:val="12"/>
  </w:num>
  <w:num w:numId="6" w16cid:durableId="737748833">
    <w:abstractNumId w:val="4"/>
  </w:num>
  <w:num w:numId="7" w16cid:durableId="470947214">
    <w:abstractNumId w:val="2"/>
  </w:num>
  <w:num w:numId="8" w16cid:durableId="118494957">
    <w:abstractNumId w:val="3"/>
  </w:num>
  <w:num w:numId="9" w16cid:durableId="1845046910">
    <w:abstractNumId w:val="5"/>
  </w:num>
  <w:num w:numId="10" w16cid:durableId="984049726">
    <w:abstractNumId w:val="7"/>
  </w:num>
  <w:num w:numId="11" w16cid:durableId="1729451239">
    <w:abstractNumId w:val="11"/>
  </w:num>
  <w:num w:numId="12" w16cid:durableId="440152676">
    <w:abstractNumId w:val="8"/>
  </w:num>
  <w:num w:numId="13" w16cid:durableId="487864352">
    <w:abstractNumId w:val="6"/>
  </w:num>
  <w:num w:numId="14" w16cid:durableId="2146775421">
    <w:abstractNumId w:val="6"/>
  </w:num>
  <w:num w:numId="15" w16cid:durableId="7014374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Bastian Wens">
    <w15:presenceInfo w15:providerId="AD" w15:userId="S::wens@itad.de::286077a3-3921-4430-92df-6623876da2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24"/>
    <w:rsid w:val="00000496"/>
    <w:rsid w:val="000023ED"/>
    <w:rsid w:val="0001020A"/>
    <w:rsid w:val="000167B0"/>
    <w:rsid w:val="000179E5"/>
    <w:rsid w:val="00017D41"/>
    <w:rsid w:val="000231BC"/>
    <w:rsid w:val="000239B5"/>
    <w:rsid w:val="00025BA0"/>
    <w:rsid w:val="00026AC3"/>
    <w:rsid w:val="00027D91"/>
    <w:rsid w:val="00027F23"/>
    <w:rsid w:val="0003025D"/>
    <w:rsid w:val="00031236"/>
    <w:rsid w:val="00032F1F"/>
    <w:rsid w:val="0003316B"/>
    <w:rsid w:val="00034AD0"/>
    <w:rsid w:val="00036C69"/>
    <w:rsid w:val="00037714"/>
    <w:rsid w:val="00043E92"/>
    <w:rsid w:val="0004599A"/>
    <w:rsid w:val="00045D36"/>
    <w:rsid w:val="000521F8"/>
    <w:rsid w:val="000564D8"/>
    <w:rsid w:val="00057571"/>
    <w:rsid w:val="00063DD6"/>
    <w:rsid w:val="00063EEB"/>
    <w:rsid w:val="00066773"/>
    <w:rsid w:val="00071930"/>
    <w:rsid w:val="00073250"/>
    <w:rsid w:val="000738E3"/>
    <w:rsid w:val="000769DE"/>
    <w:rsid w:val="00080191"/>
    <w:rsid w:val="0008134B"/>
    <w:rsid w:val="00081CD7"/>
    <w:rsid w:val="000821EA"/>
    <w:rsid w:val="00083042"/>
    <w:rsid w:val="00086894"/>
    <w:rsid w:val="00087A47"/>
    <w:rsid w:val="000918BF"/>
    <w:rsid w:val="0009232D"/>
    <w:rsid w:val="000924B6"/>
    <w:rsid w:val="000934C0"/>
    <w:rsid w:val="00093531"/>
    <w:rsid w:val="00093F78"/>
    <w:rsid w:val="0009534D"/>
    <w:rsid w:val="00097436"/>
    <w:rsid w:val="000A6086"/>
    <w:rsid w:val="000A63C2"/>
    <w:rsid w:val="000B1069"/>
    <w:rsid w:val="000B20BC"/>
    <w:rsid w:val="000B2A80"/>
    <w:rsid w:val="000B482C"/>
    <w:rsid w:val="000B5486"/>
    <w:rsid w:val="000C169A"/>
    <w:rsid w:val="000C20BB"/>
    <w:rsid w:val="000C39BC"/>
    <w:rsid w:val="000C39FF"/>
    <w:rsid w:val="000C3BEA"/>
    <w:rsid w:val="000C4CD5"/>
    <w:rsid w:val="000C6430"/>
    <w:rsid w:val="000D060E"/>
    <w:rsid w:val="000D7A03"/>
    <w:rsid w:val="000E37DA"/>
    <w:rsid w:val="000E6FDF"/>
    <w:rsid w:val="000E7FC8"/>
    <w:rsid w:val="000F287F"/>
    <w:rsid w:val="000F589A"/>
    <w:rsid w:val="000F654C"/>
    <w:rsid w:val="000F7DC6"/>
    <w:rsid w:val="0010136D"/>
    <w:rsid w:val="0010165E"/>
    <w:rsid w:val="0010294C"/>
    <w:rsid w:val="00104CB3"/>
    <w:rsid w:val="00104F62"/>
    <w:rsid w:val="0010553B"/>
    <w:rsid w:val="00113413"/>
    <w:rsid w:val="00116D8F"/>
    <w:rsid w:val="00117441"/>
    <w:rsid w:val="00117C91"/>
    <w:rsid w:val="00120C80"/>
    <w:rsid w:val="00121A2A"/>
    <w:rsid w:val="00125A77"/>
    <w:rsid w:val="001262B6"/>
    <w:rsid w:val="001270ED"/>
    <w:rsid w:val="00127A6E"/>
    <w:rsid w:val="00130B2C"/>
    <w:rsid w:val="00132B07"/>
    <w:rsid w:val="001338BB"/>
    <w:rsid w:val="001365B3"/>
    <w:rsid w:val="00136835"/>
    <w:rsid w:val="00137441"/>
    <w:rsid w:val="00137FC0"/>
    <w:rsid w:val="001500C4"/>
    <w:rsid w:val="00150709"/>
    <w:rsid w:val="0015236D"/>
    <w:rsid w:val="00154418"/>
    <w:rsid w:val="00154697"/>
    <w:rsid w:val="001555FC"/>
    <w:rsid w:val="001558A7"/>
    <w:rsid w:val="00156214"/>
    <w:rsid w:val="0015665B"/>
    <w:rsid w:val="00160A9F"/>
    <w:rsid w:val="001613E3"/>
    <w:rsid w:val="00162798"/>
    <w:rsid w:val="0016341D"/>
    <w:rsid w:val="001644D9"/>
    <w:rsid w:val="00165DA1"/>
    <w:rsid w:val="00166EA6"/>
    <w:rsid w:val="0017336D"/>
    <w:rsid w:val="00174299"/>
    <w:rsid w:val="00175D36"/>
    <w:rsid w:val="00176FA6"/>
    <w:rsid w:val="00180D45"/>
    <w:rsid w:val="00181FB6"/>
    <w:rsid w:val="001824B7"/>
    <w:rsid w:val="00187590"/>
    <w:rsid w:val="00190C73"/>
    <w:rsid w:val="00190E8A"/>
    <w:rsid w:val="00191553"/>
    <w:rsid w:val="001A0256"/>
    <w:rsid w:val="001A0956"/>
    <w:rsid w:val="001A4041"/>
    <w:rsid w:val="001A6863"/>
    <w:rsid w:val="001A74D6"/>
    <w:rsid w:val="001A790D"/>
    <w:rsid w:val="001A7A57"/>
    <w:rsid w:val="001B029F"/>
    <w:rsid w:val="001B1407"/>
    <w:rsid w:val="001B20C2"/>
    <w:rsid w:val="001B2787"/>
    <w:rsid w:val="001B3408"/>
    <w:rsid w:val="001B4B51"/>
    <w:rsid w:val="001B50A1"/>
    <w:rsid w:val="001B6B39"/>
    <w:rsid w:val="001B6E9F"/>
    <w:rsid w:val="001B754A"/>
    <w:rsid w:val="001C0556"/>
    <w:rsid w:val="001C4977"/>
    <w:rsid w:val="001C5B7A"/>
    <w:rsid w:val="001D2679"/>
    <w:rsid w:val="001D32DA"/>
    <w:rsid w:val="001D38C9"/>
    <w:rsid w:val="001D414A"/>
    <w:rsid w:val="001D4780"/>
    <w:rsid w:val="001D4B1A"/>
    <w:rsid w:val="001D5800"/>
    <w:rsid w:val="001E0092"/>
    <w:rsid w:val="001E1686"/>
    <w:rsid w:val="001E28E4"/>
    <w:rsid w:val="001E6D8B"/>
    <w:rsid w:val="001E6E40"/>
    <w:rsid w:val="001E7C54"/>
    <w:rsid w:val="001F1006"/>
    <w:rsid w:val="001F1AE3"/>
    <w:rsid w:val="001F1E6D"/>
    <w:rsid w:val="001F20DD"/>
    <w:rsid w:val="001F7337"/>
    <w:rsid w:val="00200479"/>
    <w:rsid w:val="002012D2"/>
    <w:rsid w:val="00201CED"/>
    <w:rsid w:val="00202C75"/>
    <w:rsid w:val="0020754A"/>
    <w:rsid w:val="002105F1"/>
    <w:rsid w:val="00210AA8"/>
    <w:rsid w:val="002116FA"/>
    <w:rsid w:val="002150CD"/>
    <w:rsid w:val="00215598"/>
    <w:rsid w:val="00217ADE"/>
    <w:rsid w:val="00217D38"/>
    <w:rsid w:val="00223032"/>
    <w:rsid w:val="00223E44"/>
    <w:rsid w:val="002250DF"/>
    <w:rsid w:val="0022521A"/>
    <w:rsid w:val="00226E8E"/>
    <w:rsid w:val="0023196D"/>
    <w:rsid w:val="00233EB5"/>
    <w:rsid w:val="00233F5D"/>
    <w:rsid w:val="002343C8"/>
    <w:rsid w:val="002345DC"/>
    <w:rsid w:val="002347DC"/>
    <w:rsid w:val="00235DE4"/>
    <w:rsid w:val="0024253B"/>
    <w:rsid w:val="0024326C"/>
    <w:rsid w:val="0024373C"/>
    <w:rsid w:val="00245728"/>
    <w:rsid w:val="00246A0A"/>
    <w:rsid w:val="0025364B"/>
    <w:rsid w:val="00254C33"/>
    <w:rsid w:val="00255D13"/>
    <w:rsid w:val="0025739A"/>
    <w:rsid w:val="00261DF8"/>
    <w:rsid w:val="00262E43"/>
    <w:rsid w:val="00264823"/>
    <w:rsid w:val="002663A1"/>
    <w:rsid w:val="002671AC"/>
    <w:rsid w:val="0026799C"/>
    <w:rsid w:val="00270124"/>
    <w:rsid w:val="002771FD"/>
    <w:rsid w:val="002776FA"/>
    <w:rsid w:val="0028174F"/>
    <w:rsid w:val="00281C86"/>
    <w:rsid w:val="0028410B"/>
    <w:rsid w:val="00285232"/>
    <w:rsid w:val="002903AB"/>
    <w:rsid w:val="00290A26"/>
    <w:rsid w:val="0029171A"/>
    <w:rsid w:val="00291860"/>
    <w:rsid w:val="00291961"/>
    <w:rsid w:val="002927D9"/>
    <w:rsid w:val="00293DC5"/>
    <w:rsid w:val="00294BFF"/>
    <w:rsid w:val="00296516"/>
    <w:rsid w:val="002966B9"/>
    <w:rsid w:val="00296FA7"/>
    <w:rsid w:val="00297E4D"/>
    <w:rsid w:val="002A0479"/>
    <w:rsid w:val="002A1F5F"/>
    <w:rsid w:val="002A3060"/>
    <w:rsid w:val="002A3157"/>
    <w:rsid w:val="002A3F7B"/>
    <w:rsid w:val="002A659C"/>
    <w:rsid w:val="002A6BDC"/>
    <w:rsid w:val="002A6C17"/>
    <w:rsid w:val="002B2288"/>
    <w:rsid w:val="002B3154"/>
    <w:rsid w:val="002B5AA5"/>
    <w:rsid w:val="002B5CC4"/>
    <w:rsid w:val="002B727B"/>
    <w:rsid w:val="002C2254"/>
    <w:rsid w:val="002C3500"/>
    <w:rsid w:val="002C37C5"/>
    <w:rsid w:val="002C43D8"/>
    <w:rsid w:val="002D4720"/>
    <w:rsid w:val="002D5A60"/>
    <w:rsid w:val="002D6BD3"/>
    <w:rsid w:val="002D6CFF"/>
    <w:rsid w:val="002E4AA3"/>
    <w:rsid w:val="002F4A3E"/>
    <w:rsid w:val="0030041D"/>
    <w:rsid w:val="00300966"/>
    <w:rsid w:val="00304B49"/>
    <w:rsid w:val="00304BD5"/>
    <w:rsid w:val="00307D60"/>
    <w:rsid w:val="003119B8"/>
    <w:rsid w:val="0031692F"/>
    <w:rsid w:val="00317B7E"/>
    <w:rsid w:val="003207EE"/>
    <w:rsid w:val="00323A9B"/>
    <w:rsid w:val="00324B1B"/>
    <w:rsid w:val="00325CD5"/>
    <w:rsid w:val="003263F7"/>
    <w:rsid w:val="0032689E"/>
    <w:rsid w:val="003271B0"/>
    <w:rsid w:val="00330952"/>
    <w:rsid w:val="00331423"/>
    <w:rsid w:val="00332902"/>
    <w:rsid w:val="003337A8"/>
    <w:rsid w:val="00333905"/>
    <w:rsid w:val="00335F1E"/>
    <w:rsid w:val="003360CF"/>
    <w:rsid w:val="0033753A"/>
    <w:rsid w:val="00341568"/>
    <w:rsid w:val="003450DE"/>
    <w:rsid w:val="003461E8"/>
    <w:rsid w:val="00351F6F"/>
    <w:rsid w:val="00351FAD"/>
    <w:rsid w:val="003536E2"/>
    <w:rsid w:val="00356149"/>
    <w:rsid w:val="00356E54"/>
    <w:rsid w:val="0036094E"/>
    <w:rsid w:val="00360E4A"/>
    <w:rsid w:val="00361EEC"/>
    <w:rsid w:val="0036211D"/>
    <w:rsid w:val="003659B2"/>
    <w:rsid w:val="00366065"/>
    <w:rsid w:val="0036630E"/>
    <w:rsid w:val="00366501"/>
    <w:rsid w:val="00366B98"/>
    <w:rsid w:val="0037206D"/>
    <w:rsid w:val="00373BFD"/>
    <w:rsid w:val="0037509C"/>
    <w:rsid w:val="0037773A"/>
    <w:rsid w:val="00380E81"/>
    <w:rsid w:val="00380EE5"/>
    <w:rsid w:val="00384A34"/>
    <w:rsid w:val="00384E5B"/>
    <w:rsid w:val="00385E39"/>
    <w:rsid w:val="003861EC"/>
    <w:rsid w:val="00387821"/>
    <w:rsid w:val="003900C5"/>
    <w:rsid w:val="003903AD"/>
    <w:rsid w:val="0039056F"/>
    <w:rsid w:val="003924D1"/>
    <w:rsid w:val="003949E6"/>
    <w:rsid w:val="0039570B"/>
    <w:rsid w:val="00396954"/>
    <w:rsid w:val="003A0B40"/>
    <w:rsid w:val="003A13E0"/>
    <w:rsid w:val="003A24BD"/>
    <w:rsid w:val="003A3AFB"/>
    <w:rsid w:val="003A5142"/>
    <w:rsid w:val="003A55D9"/>
    <w:rsid w:val="003A5F12"/>
    <w:rsid w:val="003B1B09"/>
    <w:rsid w:val="003B1FBB"/>
    <w:rsid w:val="003B23EA"/>
    <w:rsid w:val="003B2BC0"/>
    <w:rsid w:val="003B3D1C"/>
    <w:rsid w:val="003B45FB"/>
    <w:rsid w:val="003B566D"/>
    <w:rsid w:val="003B6AE7"/>
    <w:rsid w:val="003C1D48"/>
    <w:rsid w:val="003C21C7"/>
    <w:rsid w:val="003C4865"/>
    <w:rsid w:val="003C7ABE"/>
    <w:rsid w:val="003D13CF"/>
    <w:rsid w:val="003D2A1F"/>
    <w:rsid w:val="003D2C30"/>
    <w:rsid w:val="003D375E"/>
    <w:rsid w:val="003D5E6E"/>
    <w:rsid w:val="003D682A"/>
    <w:rsid w:val="003E0D2A"/>
    <w:rsid w:val="003E3147"/>
    <w:rsid w:val="003E3F00"/>
    <w:rsid w:val="003E4D28"/>
    <w:rsid w:val="003E6D66"/>
    <w:rsid w:val="003F1EBA"/>
    <w:rsid w:val="003F23BC"/>
    <w:rsid w:val="003F419D"/>
    <w:rsid w:val="003F49E6"/>
    <w:rsid w:val="003F73B5"/>
    <w:rsid w:val="00402994"/>
    <w:rsid w:val="00402DD8"/>
    <w:rsid w:val="0040315E"/>
    <w:rsid w:val="00403F7D"/>
    <w:rsid w:val="00410AA8"/>
    <w:rsid w:val="004118E2"/>
    <w:rsid w:val="0041312B"/>
    <w:rsid w:val="00414673"/>
    <w:rsid w:val="0041760E"/>
    <w:rsid w:val="004202C5"/>
    <w:rsid w:val="004233DC"/>
    <w:rsid w:val="004268AB"/>
    <w:rsid w:val="004304BC"/>
    <w:rsid w:val="0043125D"/>
    <w:rsid w:val="00437798"/>
    <w:rsid w:val="00440533"/>
    <w:rsid w:val="00441CB3"/>
    <w:rsid w:val="00441DD9"/>
    <w:rsid w:val="00441E4A"/>
    <w:rsid w:val="0044489C"/>
    <w:rsid w:val="0044710F"/>
    <w:rsid w:val="00450C33"/>
    <w:rsid w:val="0045285D"/>
    <w:rsid w:val="00456037"/>
    <w:rsid w:val="00456961"/>
    <w:rsid w:val="00463D20"/>
    <w:rsid w:val="004648F2"/>
    <w:rsid w:val="00465FF3"/>
    <w:rsid w:val="0047262F"/>
    <w:rsid w:val="00473565"/>
    <w:rsid w:val="00473892"/>
    <w:rsid w:val="00474EAE"/>
    <w:rsid w:val="00475152"/>
    <w:rsid w:val="00475E03"/>
    <w:rsid w:val="00477FDF"/>
    <w:rsid w:val="0048355D"/>
    <w:rsid w:val="00485067"/>
    <w:rsid w:val="00485EA3"/>
    <w:rsid w:val="00486311"/>
    <w:rsid w:val="00490248"/>
    <w:rsid w:val="004906D6"/>
    <w:rsid w:val="0049557D"/>
    <w:rsid w:val="00495731"/>
    <w:rsid w:val="00496160"/>
    <w:rsid w:val="004A09C6"/>
    <w:rsid w:val="004A14E4"/>
    <w:rsid w:val="004A19B0"/>
    <w:rsid w:val="004A3229"/>
    <w:rsid w:val="004A7966"/>
    <w:rsid w:val="004B0854"/>
    <w:rsid w:val="004B15D4"/>
    <w:rsid w:val="004B179B"/>
    <w:rsid w:val="004B1C4C"/>
    <w:rsid w:val="004B1C96"/>
    <w:rsid w:val="004C3802"/>
    <w:rsid w:val="004C3E84"/>
    <w:rsid w:val="004C7F63"/>
    <w:rsid w:val="004D121D"/>
    <w:rsid w:val="004D48FD"/>
    <w:rsid w:val="004D6A7F"/>
    <w:rsid w:val="004D6FF0"/>
    <w:rsid w:val="004D7600"/>
    <w:rsid w:val="004D78FC"/>
    <w:rsid w:val="004D7DC4"/>
    <w:rsid w:val="004E0304"/>
    <w:rsid w:val="004E160D"/>
    <w:rsid w:val="004E34C0"/>
    <w:rsid w:val="004E4375"/>
    <w:rsid w:val="004E4B1D"/>
    <w:rsid w:val="004F0A99"/>
    <w:rsid w:val="004F10F5"/>
    <w:rsid w:val="004F2D39"/>
    <w:rsid w:val="004F31BE"/>
    <w:rsid w:val="004F4C87"/>
    <w:rsid w:val="004F7690"/>
    <w:rsid w:val="005006AD"/>
    <w:rsid w:val="005011DD"/>
    <w:rsid w:val="00501FF2"/>
    <w:rsid w:val="00502D09"/>
    <w:rsid w:val="00502F3B"/>
    <w:rsid w:val="00503AAB"/>
    <w:rsid w:val="00507D11"/>
    <w:rsid w:val="00510DEA"/>
    <w:rsid w:val="00511313"/>
    <w:rsid w:val="00512C72"/>
    <w:rsid w:val="00515C53"/>
    <w:rsid w:val="005171B7"/>
    <w:rsid w:val="00517211"/>
    <w:rsid w:val="00517256"/>
    <w:rsid w:val="005207C3"/>
    <w:rsid w:val="0052093B"/>
    <w:rsid w:val="00522C73"/>
    <w:rsid w:val="00522F48"/>
    <w:rsid w:val="00523958"/>
    <w:rsid w:val="00525249"/>
    <w:rsid w:val="00527A9A"/>
    <w:rsid w:val="00530781"/>
    <w:rsid w:val="00535D24"/>
    <w:rsid w:val="005360E2"/>
    <w:rsid w:val="005411D7"/>
    <w:rsid w:val="0054315F"/>
    <w:rsid w:val="00543613"/>
    <w:rsid w:val="00543D97"/>
    <w:rsid w:val="005465A8"/>
    <w:rsid w:val="00546A22"/>
    <w:rsid w:val="00547FD3"/>
    <w:rsid w:val="00553E47"/>
    <w:rsid w:val="00554E0A"/>
    <w:rsid w:val="00556F55"/>
    <w:rsid w:val="00557018"/>
    <w:rsid w:val="0056185A"/>
    <w:rsid w:val="005642E3"/>
    <w:rsid w:val="005652B0"/>
    <w:rsid w:val="005703F2"/>
    <w:rsid w:val="005704E0"/>
    <w:rsid w:val="005732C7"/>
    <w:rsid w:val="00573BD2"/>
    <w:rsid w:val="00575A45"/>
    <w:rsid w:val="005772C2"/>
    <w:rsid w:val="0057770C"/>
    <w:rsid w:val="005811F7"/>
    <w:rsid w:val="00581A2B"/>
    <w:rsid w:val="00581FCA"/>
    <w:rsid w:val="0058434A"/>
    <w:rsid w:val="00584F05"/>
    <w:rsid w:val="005879CA"/>
    <w:rsid w:val="00587B46"/>
    <w:rsid w:val="00587FBD"/>
    <w:rsid w:val="005907D0"/>
    <w:rsid w:val="00590F9E"/>
    <w:rsid w:val="00593A0C"/>
    <w:rsid w:val="00594BFC"/>
    <w:rsid w:val="00594D5F"/>
    <w:rsid w:val="005962DC"/>
    <w:rsid w:val="00596D0D"/>
    <w:rsid w:val="005A2001"/>
    <w:rsid w:val="005B06A5"/>
    <w:rsid w:val="005B0ADC"/>
    <w:rsid w:val="005B2B77"/>
    <w:rsid w:val="005B3C2C"/>
    <w:rsid w:val="005B5679"/>
    <w:rsid w:val="005C245E"/>
    <w:rsid w:val="005C268A"/>
    <w:rsid w:val="005C5A5D"/>
    <w:rsid w:val="005C619B"/>
    <w:rsid w:val="005C7285"/>
    <w:rsid w:val="005D0783"/>
    <w:rsid w:val="005D1B06"/>
    <w:rsid w:val="005D2B91"/>
    <w:rsid w:val="005D3372"/>
    <w:rsid w:val="005D41E9"/>
    <w:rsid w:val="005D5A6D"/>
    <w:rsid w:val="005E2612"/>
    <w:rsid w:val="005E3AFE"/>
    <w:rsid w:val="005E5BCB"/>
    <w:rsid w:val="005F2F3D"/>
    <w:rsid w:val="005F35C9"/>
    <w:rsid w:val="005F4540"/>
    <w:rsid w:val="005F64BE"/>
    <w:rsid w:val="005F69C7"/>
    <w:rsid w:val="005F7F9C"/>
    <w:rsid w:val="00603C25"/>
    <w:rsid w:val="0060460A"/>
    <w:rsid w:val="00610035"/>
    <w:rsid w:val="00611624"/>
    <w:rsid w:val="006130A8"/>
    <w:rsid w:val="00614AB0"/>
    <w:rsid w:val="00626282"/>
    <w:rsid w:val="0062724A"/>
    <w:rsid w:val="0063698B"/>
    <w:rsid w:val="0063799B"/>
    <w:rsid w:val="00644706"/>
    <w:rsid w:val="00644D1C"/>
    <w:rsid w:val="00646484"/>
    <w:rsid w:val="00646CBD"/>
    <w:rsid w:val="00650989"/>
    <w:rsid w:val="006535A7"/>
    <w:rsid w:val="006547BF"/>
    <w:rsid w:val="00657871"/>
    <w:rsid w:val="00661E6E"/>
    <w:rsid w:val="00666D24"/>
    <w:rsid w:val="0066756E"/>
    <w:rsid w:val="0067154F"/>
    <w:rsid w:val="00671626"/>
    <w:rsid w:val="00671CF5"/>
    <w:rsid w:val="00673C6A"/>
    <w:rsid w:val="0067508B"/>
    <w:rsid w:val="0067657F"/>
    <w:rsid w:val="00677281"/>
    <w:rsid w:val="00680AFD"/>
    <w:rsid w:val="00680ED2"/>
    <w:rsid w:val="00681F46"/>
    <w:rsid w:val="00682B9A"/>
    <w:rsid w:val="00682EFF"/>
    <w:rsid w:val="0068516D"/>
    <w:rsid w:val="006854E4"/>
    <w:rsid w:val="006861FE"/>
    <w:rsid w:val="006926BF"/>
    <w:rsid w:val="006939FC"/>
    <w:rsid w:val="00695067"/>
    <w:rsid w:val="00697AFB"/>
    <w:rsid w:val="006A0FC8"/>
    <w:rsid w:val="006A23A5"/>
    <w:rsid w:val="006A3142"/>
    <w:rsid w:val="006A4025"/>
    <w:rsid w:val="006A4682"/>
    <w:rsid w:val="006A692A"/>
    <w:rsid w:val="006B1754"/>
    <w:rsid w:val="006B54DB"/>
    <w:rsid w:val="006B571C"/>
    <w:rsid w:val="006B7283"/>
    <w:rsid w:val="006B7E2C"/>
    <w:rsid w:val="006C25F4"/>
    <w:rsid w:val="006C608B"/>
    <w:rsid w:val="006D290F"/>
    <w:rsid w:val="006D6497"/>
    <w:rsid w:val="006D7476"/>
    <w:rsid w:val="006E20DC"/>
    <w:rsid w:val="006E2405"/>
    <w:rsid w:val="006E2BE9"/>
    <w:rsid w:val="006E3A4F"/>
    <w:rsid w:val="006E678E"/>
    <w:rsid w:val="006F431F"/>
    <w:rsid w:val="006F43DE"/>
    <w:rsid w:val="006F6E4C"/>
    <w:rsid w:val="0070124A"/>
    <w:rsid w:val="00702594"/>
    <w:rsid w:val="00704BDB"/>
    <w:rsid w:val="00704F6B"/>
    <w:rsid w:val="00706DFA"/>
    <w:rsid w:val="00707133"/>
    <w:rsid w:val="007075A1"/>
    <w:rsid w:val="0071325B"/>
    <w:rsid w:val="00715A25"/>
    <w:rsid w:val="0071777E"/>
    <w:rsid w:val="00720EE3"/>
    <w:rsid w:val="00723A9C"/>
    <w:rsid w:val="00725D15"/>
    <w:rsid w:val="00727D86"/>
    <w:rsid w:val="007316DF"/>
    <w:rsid w:val="00733B1C"/>
    <w:rsid w:val="00734B81"/>
    <w:rsid w:val="007358D8"/>
    <w:rsid w:val="00736C8F"/>
    <w:rsid w:val="007370AA"/>
    <w:rsid w:val="007407FF"/>
    <w:rsid w:val="00740F61"/>
    <w:rsid w:val="0074290C"/>
    <w:rsid w:val="00745D17"/>
    <w:rsid w:val="007462FA"/>
    <w:rsid w:val="00751D8B"/>
    <w:rsid w:val="007525EF"/>
    <w:rsid w:val="00752C20"/>
    <w:rsid w:val="00754244"/>
    <w:rsid w:val="007556CF"/>
    <w:rsid w:val="00756018"/>
    <w:rsid w:val="007608B3"/>
    <w:rsid w:val="00760A5A"/>
    <w:rsid w:val="00760C44"/>
    <w:rsid w:val="007622E4"/>
    <w:rsid w:val="00762BED"/>
    <w:rsid w:val="00762E1D"/>
    <w:rsid w:val="007648A2"/>
    <w:rsid w:val="00764927"/>
    <w:rsid w:val="007673A0"/>
    <w:rsid w:val="00767CCE"/>
    <w:rsid w:val="00770BD8"/>
    <w:rsid w:val="00772689"/>
    <w:rsid w:val="0077395C"/>
    <w:rsid w:val="00777AF2"/>
    <w:rsid w:val="00782FFA"/>
    <w:rsid w:val="0078373F"/>
    <w:rsid w:val="0078433B"/>
    <w:rsid w:val="00791246"/>
    <w:rsid w:val="00792FD3"/>
    <w:rsid w:val="00793E41"/>
    <w:rsid w:val="00797818"/>
    <w:rsid w:val="007A08C3"/>
    <w:rsid w:val="007A0FB8"/>
    <w:rsid w:val="007A4F68"/>
    <w:rsid w:val="007A70A0"/>
    <w:rsid w:val="007B0169"/>
    <w:rsid w:val="007B36CB"/>
    <w:rsid w:val="007B392A"/>
    <w:rsid w:val="007B461D"/>
    <w:rsid w:val="007C16BF"/>
    <w:rsid w:val="007C19D3"/>
    <w:rsid w:val="007C2533"/>
    <w:rsid w:val="007C4D85"/>
    <w:rsid w:val="007C5405"/>
    <w:rsid w:val="007C58A2"/>
    <w:rsid w:val="007C5DEA"/>
    <w:rsid w:val="007D3B09"/>
    <w:rsid w:val="007D41DB"/>
    <w:rsid w:val="007D517D"/>
    <w:rsid w:val="007E28A9"/>
    <w:rsid w:val="007E4089"/>
    <w:rsid w:val="007E52F0"/>
    <w:rsid w:val="007E54B3"/>
    <w:rsid w:val="007E59E4"/>
    <w:rsid w:val="007E5CA0"/>
    <w:rsid w:val="007E687E"/>
    <w:rsid w:val="007E76BB"/>
    <w:rsid w:val="007F0D3D"/>
    <w:rsid w:val="007F178B"/>
    <w:rsid w:val="007F294C"/>
    <w:rsid w:val="007F2DBB"/>
    <w:rsid w:val="007F337A"/>
    <w:rsid w:val="007F339C"/>
    <w:rsid w:val="007F395C"/>
    <w:rsid w:val="007F5958"/>
    <w:rsid w:val="007F73DB"/>
    <w:rsid w:val="007F78DF"/>
    <w:rsid w:val="00801B2E"/>
    <w:rsid w:val="00802507"/>
    <w:rsid w:val="00802E46"/>
    <w:rsid w:val="00803C3D"/>
    <w:rsid w:val="00807D7C"/>
    <w:rsid w:val="00813CBA"/>
    <w:rsid w:val="0081500D"/>
    <w:rsid w:val="008173F5"/>
    <w:rsid w:val="008178BC"/>
    <w:rsid w:val="00823110"/>
    <w:rsid w:val="00824910"/>
    <w:rsid w:val="00825A18"/>
    <w:rsid w:val="008261FB"/>
    <w:rsid w:val="00826BE4"/>
    <w:rsid w:val="00826C85"/>
    <w:rsid w:val="00831D72"/>
    <w:rsid w:val="00833259"/>
    <w:rsid w:val="00834836"/>
    <w:rsid w:val="008401C5"/>
    <w:rsid w:val="0084167E"/>
    <w:rsid w:val="00841BE3"/>
    <w:rsid w:val="0084207D"/>
    <w:rsid w:val="00842EA3"/>
    <w:rsid w:val="00843A45"/>
    <w:rsid w:val="0084696E"/>
    <w:rsid w:val="00846E7F"/>
    <w:rsid w:val="0085050D"/>
    <w:rsid w:val="00850B9F"/>
    <w:rsid w:val="00852929"/>
    <w:rsid w:val="00853C4D"/>
    <w:rsid w:val="00861B65"/>
    <w:rsid w:val="00861FCF"/>
    <w:rsid w:val="0086241C"/>
    <w:rsid w:val="008624F4"/>
    <w:rsid w:val="008676A9"/>
    <w:rsid w:val="008676B6"/>
    <w:rsid w:val="00870194"/>
    <w:rsid w:val="008708A8"/>
    <w:rsid w:val="0087132A"/>
    <w:rsid w:val="008746D3"/>
    <w:rsid w:val="00875EF8"/>
    <w:rsid w:val="0087612C"/>
    <w:rsid w:val="00876554"/>
    <w:rsid w:val="008771CF"/>
    <w:rsid w:val="0088035B"/>
    <w:rsid w:val="008868D0"/>
    <w:rsid w:val="008874A8"/>
    <w:rsid w:val="0089149F"/>
    <w:rsid w:val="00893EA7"/>
    <w:rsid w:val="008942D6"/>
    <w:rsid w:val="00894554"/>
    <w:rsid w:val="00894D12"/>
    <w:rsid w:val="00895EAE"/>
    <w:rsid w:val="00897026"/>
    <w:rsid w:val="008A1408"/>
    <w:rsid w:val="008A7A73"/>
    <w:rsid w:val="008B0FE7"/>
    <w:rsid w:val="008B3543"/>
    <w:rsid w:val="008B3B86"/>
    <w:rsid w:val="008B4E21"/>
    <w:rsid w:val="008B617E"/>
    <w:rsid w:val="008B7A0A"/>
    <w:rsid w:val="008C16EA"/>
    <w:rsid w:val="008C170E"/>
    <w:rsid w:val="008C1870"/>
    <w:rsid w:val="008C3280"/>
    <w:rsid w:val="008C3377"/>
    <w:rsid w:val="008C371D"/>
    <w:rsid w:val="008C47E3"/>
    <w:rsid w:val="008D326E"/>
    <w:rsid w:val="008D3BAB"/>
    <w:rsid w:val="008D580D"/>
    <w:rsid w:val="008D607C"/>
    <w:rsid w:val="008E308B"/>
    <w:rsid w:val="008E3457"/>
    <w:rsid w:val="008E34E2"/>
    <w:rsid w:val="008E4275"/>
    <w:rsid w:val="008E5A32"/>
    <w:rsid w:val="008F0A20"/>
    <w:rsid w:val="008F60A2"/>
    <w:rsid w:val="008F739C"/>
    <w:rsid w:val="008F772D"/>
    <w:rsid w:val="008F7F25"/>
    <w:rsid w:val="00901F1B"/>
    <w:rsid w:val="00902D42"/>
    <w:rsid w:val="00904C3F"/>
    <w:rsid w:val="00906166"/>
    <w:rsid w:val="009064D9"/>
    <w:rsid w:val="00912FAE"/>
    <w:rsid w:val="009163A6"/>
    <w:rsid w:val="00916C19"/>
    <w:rsid w:val="00917317"/>
    <w:rsid w:val="00924454"/>
    <w:rsid w:val="00925072"/>
    <w:rsid w:val="00927E1A"/>
    <w:rsid w:val="0093306D"/>
    <w:rsid w:val="009335B3"/>
    <w:rsid w:val="00933CDA"/>
    <w:rsid w:val="00934D6C"/>
    <w:rsid w:val="00942F4B"/>
    <w:rsid w:val="00943219"/>
    <w:rsid w:val="00944540"/>
    <w:rsid w:val="00945792"/>
    <w:rsid w:val="00945B75"/>
    <w:rsid w:val="00946850"/>
    <w:rsid w:val="00946CE5"/>
    <w:rsid w:val="00947673"/>
    <w:rsid w:val="0094776C"/>
    <w:rsid w:val="009501A1"/>
    <w:rsid w:val="00950664"/>
    <w:rsid w:val="00950F0E"/>
    <w:rsid w:val="00951541"/>
    <w:rsid w:val="00952A65"/>
    <w:rsid w:val="00953606"/>
    <w:rsid w:val="0095375B"/>
    <w:rsid w:val="009606D4"/>
    <w:rsid w:val="009646B9"/>
    <w:rsid w:val="009728F2"/>
    <w:rsid w:val="00974C56"/>
    <w:rsid w:val="0097767F"/>
    <w:rsid w:val="00982CAC"/>
    <w:rsid w:val="00983F7A"/>
    <w:rsid w:val="00990482"/>
    <w:rsid w:val="00990F63"/>
    <w:rsid w:val="00993ED9"/>
    <w:rsid w:val="009962F9"/>
    <w:rsid w:val="009A3461"/>
    <w:rsid w:val="009A384B"/>
    <w:rsid w:val="009A4FB4"/>
    <w:rsid w:val="009A6280"/>
    <w:rsid w:val="009B2C5A"/>
    <w:rsid w:val="009B5879"/>
    <w:rsid w:val="009C0D75"/>
    <w:rsid w:val="009C1828"/>
    <w:rsid w:val="009C1D68"/>
    <w:rsid w:val="009C2C87"/>
    <w:rsid w:val="009C3644"/>
    <w:rsid w:val="009C4BC4"/>
    <w:rsid w:val="009C5A88"/>
    <w:rsid w:val="009D286D"/>
    <w:rsid w:val="009D56D5"/>
    <w:rsid w:val="009D5701"/>
    <w:rsid w:val="009E0E2A"/>
    <w:rsid w:val="009E31F6"/>
    <w:rsid w:val="009E3782"/>
    <w:rsid w:val="009E517C"/>
    <w:rsid w:val="009E61DB"/>
    <w:rsid w:val="009F0D90"/>
    <w:rsid w:val="009F1957"/>
    <w:rsid w:val="009F5437"/>
    <w:rsid w:val="009F6CD4"/>
    <w:rsid w:val="009F6F7B"/>
    <w:rsid w:val="009F7D75"/>
    <w:rsid w:val="00A05D18"/>
    <w:rsid w:val="00A06183"/>
    <w:rsid w:val="00A1049B"/>
    <w:rsid w:val="00A10BC9"/>
    <w:rsid w:val="00A11EE8"/>
    <w:rsid w:val="00A15F79"/>
    <w:rsid w:val="00A172FC"/>
    <w:rsid w:val="00A20D8A"/>
    <w:rsid w:val="00A22078"/>
    <w:rsid w:val="00A24388"/>
    <w:rsid w:val="00A31CAA"/>
    <w:rsid w:val="00A32754"/>
    <w:rsid w:val="00A33238"/>
    <w:rsid w:val="00A372D8"/>
    <w:rsid w:val="00A40BB7"/>
    <w:rsid w:val="00A44FAA"/>
    <w:rsid w:val="00A451D7"/>
    <w:rsid w:val="00A46767"/>
    <w:rsid w:val="00A475A1"/>
    <w:rsid w:val="00A5021C"/>
    <w:rsid w:val="00A52490"/>
    <w:rsid w:val="00A52F73"/>
    <w:rsid w:val="00A57CF3"/>
    <w:rsid w:val="00A57F4D"/>
    <w:rsid w:val="00A62CA6"/>
    <w:rsid w:val="00A63CF4"/>
    <w:rsid w:val="00A64523"/>
    <w:rsid w:val="00A6611E"/>
    <w:rsid w:val="00A665E6"/>
    <w:rsid w:val="00A666BE"/>
    <w:rsid w:val="00A67AA8"/>
    <w:rsid w:val="00A736E3"/>
    <w:rsid w:val="00A737B8"/>
    <w:rsid w:val="00A73FF8"/>
    <w:rsid w:val="00A8055E"/>
    <w:rsid w:val="00A848EE"/>
    <w:rsid w:val="00A854E1"/>
    <w:rsid w:val="00A85611"/>
    <w:rsid w:val="00A856CD"/>
    <w:rsid w:val="00A86DD6"/>
    <w:rsid w:val="00A8773B"/>
    <w:rsid w:val="00A900D3"/>
    <w:rsid w:val="00A90988"/>
    <w:rsid w:val="00A92F69"/>
    <w:rsid w:val="00A93451"/>
    <w:rsid w:val="00A94B06"/>
    <w:rsid w:val="00A94F37"/>
    <w:rsid w:val="00A9528A"/>
    <w:rsid w:val="00A959FE"/>
    <w:rsid w:val="00A979C4"/>
    <w:rsid w:val="00AA12A6"/>
    <w:rsid w:val="00AA1426"/>
    <w:rsid w:val="00AA58BA"/>
    <w:rsid w:val="00AA6F28"/>
    <w:rsid w:val="00AB1FB3"/>
    <w:rsid w:val="00AB2F5F"/>
    <w:rsid w:val="00AB592E"/>
    <w:rsid w:val="00AB649E"/>
    <w:rsid w:val="00AB6F6A"/>
    <w:rsid w:val="00AC0AA8"/>
    <w:rsid w:val="00AC1529"/>
    <w:rsid w:val="00AC17F9"/>
    <w:rsid w:val="00AC5A20"/>
    <w:rsid w:val="00AC61FB"/>
    <w:rsid w:val="00AC735C"/>
    <w:rsid w:val="00AD140D"/>
    <w:rsid w:val="00AD67F5"/>
    <w:rsid w:val="00AD7950"/>
    <w:rsid w:val="00AE1264"/>
    <w:rsid w:val="00AE292B"/>
    <w:rsid w:val="00AE6EFD"/>
    <w:rsid w:val="00AF0FD4"/>
    <w:rsid w:val="00AF6ADC"/>
    <w:rsid w:val="00AF6EAC"/>
    <w:rsid w:val="00AF6F50"/>
    <w:rsid w:val="00AF7B2A"/>
    <w:rsid w:val="00B005DB"/>
    <w:rsid w:val="00B00940"/>
    <w:rsid w:val="00B027C8"/>
    <w:rsid w:val="00B046C5"/>
    <w:rsid w:val="00B07081"/>
    <w:rsid w:val="00B1018A"/>
    <w:rsid w:val="00B11E37"/>
    <w:rsid w:val="00B12960"/>
    <w:rsid w:val="00B1316C"/>
    <w:rsid w:val="00B14174"/>
    <w:rsid w:val="00B168E5"/>
    <w:rsid w:val="00B17ACF"/>
    <w:rsid w:val="00B20CB6"/>
    <w:rsid w:val="00B2358F"/>
    <w:rsid w:val="00B244B3"/>
    <w:rsid w:val="00B2710B"/>
    <w:rsid w:val="00B30F24"/>
    <w:rsid w:val="00B31625"/>
    <w:rsid w:val="00B32B6E"/>
    <w:rsid w:val="00B32E9F"/>
    <w:rsid w:val="00B3513A"/>
    <w:rsid w:val="00B35350"/>
    <w:rsid w:val="00B427D3"/>
    <w:rsid w:val="00B42EC5"/>
    <w:rsid w:val="00B44508"/>
    <w:rsid w:val="00B45B71"/>
    <w:rsid w:val="00B46474"/>
    <w:rsid w:val="00B50950"/>
    <w:rsid w:val="00B50E62"/>
    <w:rsid w:val="00B52329"/>
    <w:rsid w:val="00B5263F"/>
    <w:rsid w:val="00B532DD"/>
    <w:rsid w:val="00B533A4"/>
    <w:rsid w:val="00B54261"/>
    <w:rsid w:val="00B60785"/>
    <w:rsid w:val="00B6246B"/>
    <w:rsid w:val="00B6370F"/>
    <w:rsid w:val="00B64658"/>
    <w:rsid w:val="00B6548B"/>
    <w:rsid w:val="00B661D5"/>
    <w:rsid w:val="00B663E4"/>
    <w:rsid w:val="00B701D9"/>
    <w:rsid w:val="00B708E2"/>
    <w:rsid w:val="00B73E41"/>
    <w:rsid w:val="00B7418F"/>
    <w:rsid w:val="00B7494C"/>
    <w:rsid w:val="00B75E2D"/>
    <w:rsid w:val="00B75F9B"/>
    <w:rsid w:val="00B7604C"/>
    <w:rsid w:val="00B76CBB"/>
    <w:rsid w:val="00B76F75"/>
    <w:rsid w:val="00B77EFB"/>
    <w:rsid w:val="00B8221E"/>
    <w:rsid w:val="00B830D8"/>
    <w:rsid w:val="00B844E1"/>
    <w:rsid w:val="00B8483C"/>
    <w:rsid w:val="00B86CC3"/>
    <w:rsid w:val="00B86FC4"/>
    <w:rsid w:val="00B87745"/>
    <w:rsid w:val="00B87A58"/>
    <w:rsid w:val="00B91795"/>
    <w:rsid w:val="00B969B3"/>
    <w:rsid w:val="00B9789F"/>
    <w:rsid w:val="00BA0C5D"/>
    <w:rsid w:val="00BA2B14"/>
    <w:rsid w:val="00BA41E0"/>
    <w:rsid w:val="00BA540F"/>
    <w:rsid w:val="00BA5DF9"/>
    <w:rsid w:val="00BA5FF8"/>
    <w:rsid w:val="00BA661A"/>
    <w:rsid w:val="00BA73D0"/>
    <w:rsid w:val="00BA7585"/>
    <w:rsid w:val="00BB0075"/>
    <w:rsid w:val="00BB0B51"/>
    <w:rsid w:val="00BB175F"/>
    <w:rsid w:val="00BB1DEB"/>
    <w:rsid w:val="00BB78DB"/>
    <w:rsid w:val="00BB7EDE"/>
    <w:rsid w:val="00BC04A3"/>
    <w:rsid w:val="00BC31B3"/>
    <w:rsid w:val="00BC484F"/>
    <w:rsid w:val="00BC6D36"/>
    <w:rsid w:val="00BD4A00"/>
    <w:rsid w:val="00BD5CFC"/>
    <w:rsid w:val="00BD696E"/>
    <w:rsid w:val="00BD713A"/>
    <w:rsid w:val="00BD78F3"/>
    <w:rsid w:val="00BE0462"/>
    <w:rsid w:val="00BE0AF9"/>
    <w:rsid w:val="00BE1DC9"/>
    <w:rsid w:val="00BE68F6"/>
    <w:rsid w:val="00BE6D92"/>
    <w:rsid w:val="00BF20D8"/>
    <w:rsid w:val="00BF2739"/>
    <w:rsid w:val="00BF3840"/>
    <w:rsid w:val="00BF4B9C"/>
    <w:rsid w:val="00BF5598"/>
    <w:rsid w:val="00C00041"/>
    <w:rsid w:val="00C00269"/>
    <w:rsid w:val="00C02E9D"/>
    <w:rsid w:val="00C06404"/>
    <w:rsid w:val="00C06AAB"/>
    <w:rsid w:val="00C0715F"/>
    <w:rsid w:val="00C118A0"/>
    <w:rsid w:val="00C126F9"/>
    <w:rsid w:val="00C14D96"/>
    <w:rsid w:val="00C20CD4"/>
    <w:rsid w:val="00C2110F"/>
    <w:rsid w:val="00C247A6"/>
    <w:rsid w:val="00C33339"/>
    <w:rsid w:val="00C34291"/>
    <w:rsid w:val="00C3453F"/>
    <w:rsid w:val="00C35A27"/>
    <w:rsid w:val="00C37240"/>
    <w:rsid w:val="00C46412"/>
    <w:rsid w:val="00C47D4F"/>
    <w:rsid w:val="00C51797"/>
    <w:rsid w:val="00C52089"/>
    <w:rsid w:val="00C53FCC"/>
    <w:rsid w:val="00C54441"/>
    <w:rsid w:val="00C55514"/>
    <w:rsid w:val="00C57209"/>
    <w:rsid w:val="00C60DD8"/>
    <w:rsid w:val="00C62061"/>
    <w:rsid w:val="00C63884"/>
    <w:rsid w:val="00C64D47"/>
    <w:rsid w:val="00C65FA7"/>
    <w:rsid w:val="00C668BD"/>
    <w:rsid w:val="00C66AB9"/>
    <w:rsid w:val="00C70C1C"/>
    <w:rsid w:val="00C71000"/>
    <w:rsid w:val="00C7161C"/>
    <w:rsid w:val="00C71C1B"/>
    <w:rsid w:val="00C73B02"/>
    <w:rsid w:val="00C8179F"/>
    <w:rsid w:val="00C83D31"/>
    <w:rsid w:val="00C86E07"/>
    <w:rsid w:val="00C916A2"/>
    <w:rsid w:val="00C9174B"/>
    <w:rsid w:val="00C94695"/>
    <w:rsid w:val="00C947AC"/>
    <w:rsid w:val="00C95E35"/>
    <w:rsid w:val="00C97221"/>
    <w:rsid w:val="00C9762A"/>
    <w:rsid w:val="00CA033D"/>
    <w:rsid w:val="00CA07F3"/>
    <w:rsid w:val="00CA0C8F"/>
    <w:rsid w:val="00CA0F40"/>
    <w:rsid w:val="00CA1C28"/>
    <w:rsid w:val="00CA2890"/>
    <w:rsid w:val="00CA43F2"/>
    <w:rsid w:val="00CA6637"/>
    <w:rsid w:val="00CB14D0"/>
    <w:rsid w:val="00CB5EE7"/>
    <w:rsid w:val="00CB60B7"/>
    <w:rsid w:val="00CC068C"/>
    <w:rsid w:val="00CC533B"/>
    <w:rsid w:val="00CC6EBA"/>
    <w:rsid w:val="00CC7102"/>
    <w:rsid w:val="00CC7B47"/>
    <w:rsid w:val="00CD13DD"/>
    <w:rsid w:val="00CD1CDA"/>
    <w:rsid w:val="00CD3095"/>
    <w:rsid w:val="00CD5542"/>
    <w:rsid w:val="00CE0241"/>
    <w:rsid w:val="00CE026A"/>
    <w:rsid w:val="00CE1DEC"/>
    <w:rsid w:val="00CE469E"/>
    <w:rsid w:val="00CE5CDC"/>
    <w:rsid w:val="00CE7661"/>
    <w:rsid w:val="00CF2900"/>
    <w:rsid w:val="00CF5E82"/>
    <w:rsid w:val="00CF64AC"/>
    <w:rsid w:val="00CF6DBA"/>
    <w:rsid w:val="00D00A18"/>
    <w:rsid w:val="00D0379D"/>
    <w:rsid w:val="00D038AE"/>
    <w:rsid w:val="00D07243"/>
    <w:rsid w:val="00D10336"/>
    <w:rsid w:val="00D12BEE"/>
    <w:rsid w:val="00D137C0"/>
    <w:rsid w:val="00D1722D"/>
    <w:rsid w:val="00D220F4"/>
    <w:rsid w:val="00D2630B"/>
    <w:rsid w:val="00D3023E"/>
    <w:rsid w:val="00D3183C"/>
    <w:rsid w:val="00D3432D"/>
    <w:rsid w:val="00D35180"/>
    <w:rsid w:val="00D35602"/>
    <w:rsid w:val="00D37CBF"/>
    <w:rsid w:val="00D37DCF"/>
    <w:rsid w:val="00D411EC"/>
    <w:rsid w:val="00D416C1"/>
    <w:rsid w:val="00D43493"/>
    <w:rsid w:val="00D43E94"/>
    <w:rsid w:val="00D5238E"/>
    <w:rsid w:val="00D544B8"/>
    <w:rsid w:val="00D56D2C"/>
    <w:rsid w:val="00D611F0"/>
    <w:rsid w:val="00D615E0"/>
    <w:rsid w:val="00D622F6"/>
    <w:rsid w:val="00D62CF0"/>
    <w:rsid w:val="00D637C0"/>
    <w:rsid w:val="00D64F0A"/>
    <w:rsid w:val="00D6642F"/>
    <w:rsid w:val="00D664A0"/>
    <w:rsid w:val="00D66B8C"/>
    <w:rsid w:val="00D70C42"/>
    <w:rsid w:val="00D716AC"/>
    <w:rsid w:val="00D7235D"/>
    <w:rsid w:val="00D740D2"/>
    <w:rsid w:val="00D74B54"/>
    <w:rsid w:val="00D8224B"/>
    <w:rsid w:val="00D8292B"/>
    <w:rsid w:val="00D832C9"/>
    <w:rsid w:val="00D91938"/>
    <w:rsid w:val="00DA0F4C"/>
    <w:rsid w:val="00DA1B89"/>
    <w:rsid w:val="00DA2B59"/>
    <w:rsid w:val="00DA3432"/>
    <w:rsid w:val="00DA62B3"/>
    <w:rsid w:val="00DA67F4"/>
    <w:rsid w:val="00DB3E45"/>
    <w:rsid w:val="00DB4D6C"/>
    <w:rsid w:val="00DB504F"/>
    <w:rsid w:val="00DB733F"/>
    <w:rsid w:val="00DB7E1D"/>
    <w:rsid w:val="00DC4861"/>
    <w:rsid w:val="00DC4AAC"/>
    <w:rsid w:val="00DD0EB4"/>
    <w:rsid w:val="00DD0FB5"/>
    <w:rsid w:val="00DD30D3"/>
    <w:rsid w:val="00DD6430"/>
    <w:rsid w:val="00DD7EDE"/>
    <w:rsid w:val="00DE1B7C"/>
    <w:rsid w:val="00DE356D"/>
    <w:rsid w:val="00DE391C"/>
    <w:rsid w:val="00DE6CDE"/>
    <w:rsid w:val="00DF00A8"/>
    <w:rsid w:val="00DF1878"/>
    <w:rsid w:val="00DF2BB4"/>
    <w:rsid w:val="00DF34B5"/>
    <w:rsid w:val="00DF4D78"/>
    <w:rsid w:val="00DF726C"/>
    <w:rsid w:val="00E046C3"/>
    <w:rsid w:val="00E1282E"/>
    <w:rsid w:val="00E13178"/>
    <w:rsid w:val="00E16B3E"/>
    <w:rsid w:val="00E20377"/>
    <w:rsid w:val="00E22915"/>
    <w:rsid w:val="00E22D6B"/>
    <w:rsid w:val="00E30369"/>
    <w:rsid w:val="00E404EF"/>
    <w:rsid w:val="00E41BE1"/>
    <w:rsid w:val="00E41C76"/>
    <w:rsid w:val="00E44B7E"/>
    <w:rsid w:val="00E452FD"/>
    <w:rsid w:val="00E51CF5"/>
    <w:rsid w:val="00E53A59"/>
    <w:rsid w:val="00E546A1"/>
    <w:rsid w:val="00E55F27"/>
    <w:rsid w:val="00E57843"/>
    <w:rsid w:val="00E60EC1"/>
    <w:rsid w:val="00E628C7"/>
    <w:rsid w:val="00E635AF"/>
    <w:rsid w:val="00E679A0"/>
    <w:rsid w:val="00E67C81"/>
    <w:rsid w:val="00E70230"/>
    <w:rsid w:val="00E724A5"/>
    <w:rsid w:val="00E742A2"/>
    <w:rsid w:val="00E747B2"/>
    <w:rsid w:val="00E80230"/>
    <w:rsid w:val="00E810D6"/>
    <w:rsid w:val="00E81616"/>
    <w:rsid w:val="00E819E4"/>
    <w:rsid w:val="00E821F5"/>
    <w:rsid w:val="00E830D6"/>
    <w:rsid w:val="00E84E81"/>
    <w:rsid w:val="00E85B94"/>
    <w:rsid w:val="00E9510C"/>
    <w:rsid w:val="00E953FE"/>
    <w:rsid w:val="00E95DC5"/>
    <w:rsid w:val="00E965F4"/>
    <w:rsid w:val="00E97DB5"/>
    <w:rsid w:val="00EA0C56"/>
    <w:rsid w:val="00EA24C3"/>
    <w:rsid w:val="00EA3017"/>
    <w:rsid w:val="00EB0AE4"/>
    <w:rsid w:val="00EB2D55"/>
    <w:rsid w:val="00EB5BE4"/>
    <w:rsid w:val="00EB7410"/>
    <w:rsid w:val="00EC1027"/>
    <w:rsid w:val="00EC1049"/>
    <w:rsid w:val="00EC1069"/>
    <w:rsid w:val="00EC33C7"/>
    <w:rsid w:val="00EC3449"/>
    <w:rsid w:val="00EC35DD"/>
    <w:rsid w:val="00EC74CA"/>
    <w:rsid w:val="00EC7C7D"/>
    <w:rsid w:val="00EC7D99"/>
    <w:rsid w:val="00ED0591"/>
    <w:rsid w:val="00ED1C9B"/>
    <w:rsid w:val="00ED346B"/>
    <w:rsid w:val="00ED4138"/>
    <w:rsid w:val="00ED4F53"/>
    <w:rsid w:val="00EE2662"/>
    <w:rsid w:val="00EE2B07"/>
    <w:rsid w:val="00EE467C"/>
    <w:rsid w:val="00EE51D5"/>
    <w:rsid w:val="00EE727C"/>
    <w:rsid w:val="00EE72BE"/>
    <w:rsid w:val="00EF22CC"/>
    <w:rsid w:val="00EF3D02"/>
    <w:rsid w:val="00EF5B14"/>
    <w:rsid w:val="00EF6C3B"/>
    <w:rsid w:val="00EF75A2"/>
    <w:rsid w:val="00F01DC2"/>
    <w:rsid w:val="00F026FF"/>
    <w:rsid w:val="00F02DFD"/>
    <w:rsid w:val="00F0543A"/>
    <w:rsid w:val="00F05A0F"/>
    <w:rsid w:val="00F0734E"/>
    <w:rsid w:val="00F1195E"/>
    <w:rsid w:val="00F14005"/>
    <w:rsid w:val="00F14031"/>
    <w:rsid w:val="00F145AB"/>
    <w:rsid w:val="00F14B7D"/>
    <w:rsid w:val="00F16184"/>
    <w:rsid w:val="00F17F41"/>
    <w:rsid w:val="00F22BE7"/>
    <w:rsid w:val="00F23047"/>
    <w:rsid w:val="00F23B32"/>
    <w:rsid w:val="00F24DB3"/>
    <w:rsid w:val="00F27341"/>
    <w:rsid w:val="00F313AF"/>
    <w:rsid w:val="00F329A9"/>
    <w:rsid w:val="00F346F4"/>
    <w:rsid w:val="00F359B6"/>
    <w:rsid w:val="00F40485"/>
    <w:rsid w:val="00F42AAA"/>
    <w:rsid w:val="00F42FEA"/>
    <w:rsid w:val="00F44928"/>
    <w:rsid w:val="00F45060"/>
    <w:rsid w:val="00F4558D"/>
    <w:rsid w:val="00F46508"/>
    <w:rsid w:val="00F4670E"/>
    <w:rsid w:val="00F51082"/>
    <w:rsid w:val="00F513D6"/>
    <w:rsid w:val="00F52E52"/>
    <w:rsid w:val="00F5565E"/>
    <w:rsid w:val="00F57FA1"/>
    <w:rsid w:val="00F601E7"/>
    <w:rsid w:val="00F665F9"/>
    <w:rsid w:val="00F70B59"/>
    <w:rsid w:val="00F71AB7"/>
    <w:rsid w:val="00F727E1"/>
    <w:rsid w:val="00F7505D"/>
    <w:rsid w:val="00F75EF9"/>
    <w:rsid w:val="00F81865"/>
    <w:rsid w:val="00F81C22"/>
    <w:rsid w:val="00F830F4"/>
    <w:rsid w:val="00F839F4"/>
    <w:rsid w:val="00F8410A"/>
    <w:rsid w:val="00F84413"/>
    <w:rsid w:val="00F860C5"/>
    <w:rsid w:val="00F8685B"/>
    <w:rsid w:val="00F908F4"/>
    <w:rsid w:val="00F91006"/>
    <w:rsid w:val="00F912D5"/>
    <w:rsid w:val="00F912EC"/>
    <w:rsid w:val="00F93A83"/>
    <w:rsid w:val="00F942CC"/>
    <w:rsid w:val="00F9684C"/>
    <w:rsid w:val="00F973EB"/>
    <w:rsid w:val="00F9790A"/>
    <w:rsid w:val="00F97AC5"/>
    <w:rsid w:val="00FA1D72"/>
    <w:rsid w:val="00FA54EE"/>
    <w:rsid w:val="00FA55EC"/>
    <w:rsid w:val="00FB1A5D"/>
    <w:rsid w:val="00FB3847"/>
    <w:rsid w:val="00FC2B00"/>
    <w:rsid w:val="00FC31CF"/>
    <w:rsid w:val="00FC427A"/>
    <w:rsid w:val="00FC4BD1"/>
    <w:rsid w:val="00FC58D0"/>
    <w:rsid w:val="00FD0383"/>
    <w:rsid w:val="00FD1255"/>
    <w:rsid w:val="00FD2137"/>
    <w:rsid w:val="00FD2952"/>
    <w:rsid w:val="00FD306C"/>
    <w:rsid w:val="00FD4C9E"/>
    <w:rsid w:val="00FD51CD"/>
    <w:rsid w:val="00FD520A"/>
    <w:rsid w:val="00FD59F2"/>
    <w:rsid w:val="00FD7DA0"/>
    <w:rsid w:val="00FE0208"/>
    <w:rsid w:val="00FE082A"/>
    <w:rsid w:val="00FE18BD"/>
    <w:rsid w:val="00FE41E5"/>
    <w:rsid w:val="00FE563E"/>
    <w:rsid w:val="00FE6022"/>
    <w:rsid w:val="00FE7FE0"/>
    <w:rsid w:val="00FF0420"/>
    <w:rsid w:val="00FF0969"/>
    <w:rsid w:val="00FF1704"/>
    <w:rsid w:val="00FF1A94"/>
    <w:rsid w:val="00FF33DA"/>
    <w:rsid w:val="00FF3B45"/>
    <w:rsid w:val="00FF4EB8"/>
    <w:rsid w:val="00FF540D"/>
    <w:rsid w:val="00FF55B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E5DD2"/>
  <w15:docId w15:val="{1022BC39-1C15-4914-99B1-675F3BB1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9B0"/>
    <w:pPr>
      <w:jc w:val="both"/>
    </w:pPr>
    <w:rPr>
      <w:rFonts w:ascii="Verdana" w:hAnsi="Verdana"/>
    </w:rPr>
  </w:style>
  <w:style w:type="paragraph" w:styleId="berschrift1">
    <w:name w:val="heading 1"/>
    <w:basedOn w:val="Standard"/>
    <w:next w:val="Standard"/>
    <w:link w:val="berschrift1Zchn"/>
    <w:uiPriority w:val="9"/>
    <w:qFormat/>
    <w:rsid w:val="00EF5B14"/>
    <w:pPr>
      <w:keepNext/>
      <w:keepLines/>
      <w:numPr>
        <w:numId w:val="13"/>
      </w:numPr>
      <w:spacing w:before="120" w:after="120"/>
      <w:ind w:left="431" w:hanging="431"/>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EF5B14"/>
    <w:pPr>
      <w:keepNext/>
      <w:keepLines/>
      <w:numPr>
        <w:ilvl w:val="1"/>
        <w:numId w:val="13"/>
      </w:numPr>
      <w:spacing w:before="120" w:after="120"/>
      <w:ind w:left="578" w:hanging="578"/>
      <w:outlineLvl w:val="1"/>
    </w:pPr>
    <w:rPr>
      <w:rFonts w:eastAsiaTheme="majorEastAsia" w:cstheme="majorBidi"/>
      <w:b/>
      <w:szCs w:val="26"/>
    </w:rPr>
  </w:style>
  <w:style w:type="paragraph" w:styleId="berschrift3">
    <w:name w:val="heading 3"/>
    <w:basedOn w:val="Standard"/>
    <w:link w:val="berschrift3Zchn"/>
    <w:uiPriority w:val="9"/>
    <w:qFormat/>
    <w:rsid w:val="00EF5B14"/>
    <w:pPr>
      <w:numPr>
        <w:ilvl w:val="2"/>
        <w:numId w:val="13"/>
      </w:numPr>
      <w:spacing w:before="120" w:after="120"/>
      <w:outlineLvl w:val="2"/>
    </w:pPr>
    <w:rPr>
      <w:rFonts w:eastAsia="Times New Roman" w:cs="Times New Roman"/>
      <w:b/>
      <w:bCs/>
      <w:szCs w:val="27"/>
      <w:lang w:eastAsia="de-DE"/>
    </w:rPr>
  </w:style>
  <w:style w:type="paragraph" w:styleId="berschrift4">
    <w:name w:val="heading 4"/>
    <w:basedOn w:val="Standard"/>
    <w:next w:val="Standard"/>
    <w:link w:val="berschrift4Zchn"/>
    <w:uiPriority w:val="9"/>
    <w:semiHidden/>
    <w:unhideWhenUsed/>
    <w:qFormat/>
    <w:rsid w:val="00AF7B2A"/>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F7B2A"/>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F7B2A"/>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F7B2A"/>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F7B2A"/>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F7B2A"/>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24454"/>
    <w:rPr>
      <w:color w:val="0563C1"/>
      <w:u w:val="single"/>
    </w:rPr>
  </w:style>
  <w:style w:type="paragraph" w:customStyle="1" w:styleId="xtextwofeed">
    <w:name w:val="x_text_w/o_feed"/>
    <w:basedOn w:val="Standard"/>
    <w:uiPriority w:val="99"/>
    <w:rsid w:val="00924454"/>
    <w:pPr>
      <w:spacing w:before="100" w:beforeAutospacing="1" w:after="100" w:afterAutospacing="1" w:line="240" w:lineRule="auto"/>
    </w:pPr>
    <w:rPr>
      <w:rFonts w:ascii="Calibri" w:hAnsi="Calibri" w:cs="Calibri"/>
      <w:lang w:eastAsia="de-DE"/>
    </w:rPr>
  </w:style>
  <w:style w:type="paragraph" w:styleId="Listenabsatz">
    <w:name w:val="List Paragraph"/>
    <w:basedOn w:val="Standard"/>
    <w:uiPriority w:val="34"/>
    <w:qFormat/>
    <w:rsid w:val="001613E3"/>
    <w:pPr>
      <w:spacing w:after="0" w:line="240" w:lineRule="auto"/>
      <w:ind w:left="720"/>
    </w:pPr>
    <w:rPr>
      <w:rFonts w:ascii="Calibri" w:hAnsi="Calibri" w:cs="Calibri"/>
    </w:rPr>
  </w:style>
  <w:style w:type="paragraph" w:styleId="Funotentext">
    <w:name w:val="footnote text"/>
    <w:basedOn w:val="Standard"/>
    <w:link w:val="FunotentextZchn"/>
    <w:uiPriority w:val="99"/>
    <w:semiHidden/>
    <w:unhideWhenUsed/>
    <w:rsid w:val="00441DD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41DD9"/>
    <w:rPr>
      <w:sz w:val="20"/>
      <w:szCs w:val="20"/>
    </w:rPr>
  </w:style>
  <w:style w:type="character" w:styleId="Funotenzeichen">
    <w:name w:val="footnote reference"/>
    <w:basedOn w:val="Absatz-Standardschriftart"/>
    <w:uiPriority w:val="99"/>
    <w:semiHidden/>
    <w:unhideWhenUsed/>
    <w:rsid w:val="00441DD9"/>
    <w:rPr>
      <w:vertAlign w:val="superscript"/>
    </w:rPr>
  </w:style>
  <w:style w:type="character" w:customStyle="1" w:styleId="TextkrperZchn">
    <w:name w:val="Textkörper Zchn"/>
    <w:basedOn w:val="Absatz-Standardschriftart"/>
    <w:link w:val="Textkrper"/>
    <w:uiPriority w:val="99"/>
    <w:qFormat/>
    <w:rsid w:val="009D5701"/>
    <w:rPr>
      <w:sz w:val="24"/>
      <w:szCs w:val="21"/>
      <w:lang w:eastAsia="zh-CN" w:bidi="hi-IN"/>
    </w:rPr>
  </w:style>
  <w:style w:type="paragraph" w:styleId="Textkrper">
    <w:name w:val="Body Text"/>
    <w:basedOn w:val="Standard"/>
    <w:link w:val="TextkrperZchn"/>
    <w:uiPriority w:val="99"/>
    <w:rsid w:val="009D5701"/>
    <w:pPr>
      <w:widowControl w:val="0"/>
      <w:suppressAutoHyphens/>
      <w:spacing w:after="140" w:line="288" w:lineRule="auto"/>
    </w:pPr>
    <w:rPr>
      <w:sz w:val="24"/>
      <w:szCs w:val="21"/>
      <w:lang w:eastAsia="zh-CN" w:bidi="hi-IN"/>
    </w:rPr>
  </w:style>
  <w:style w:type="character" w:customStyle="1" w:styleId="TextkrperZchn1">
    <w:name w:val="Textkörper Zchn1"/>
    <w:basedOn w:val="Absatz-Standardschriftart"/>
    <w:uiPriority w:val="99"/>
    <w:semiHidden/>
    <w:rsid w:val="009D5701"/>
  </w:style>
  <w:style w:type="paragraph" w:styleId="Kopfzeile">
    <w:name w:val="header"/>
    <w:basedOn w:val="Standard"/>
    <w:link w:val="KopfzeileZchn"/>
    <w:uiPriority w:val="99"/>
    <w:unhideWhenUsed/>
    <w:rsid w:val="009D57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5701"/>
  </w:style>
  <w:style w:type="paragraph" w:styleId="Fuzeile">
    <w:name w:val="footer"/>
    <w:basedOn w:val="Standard"/>
    <w:link w:val="FuzeileZchn"/>
    <w:uiPriority w:val="99"/>
    <w:unhideWhenUsed/>
    <w:rsid w:val="009D57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5701"/>
  </w:style>
  <w:style w:type="table" w:customStyle="1" w:styleId="Gitternetztabelle5dunkelAkzent11">
    <w:name w:val="Gitternetztabelle 5 dunkel  – Akzent 11"/>
    <w:basedOn w:val="NormaleTabelle"/>
    <w:uiPriority w:val="50"/>
    <w:rsid w:val="00E44B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Sprechblasentext">
    <w:name w:val="Balloon Text"/>
    <w:basedOn w:val="Standard"/>
    <w:link w:val="SprechblasentextZchn"/>
    <w:uiPriority w:val="99"/>
    <w:semiHidden/>
    <w:unhideWhenUsed/>
    <w:rsid w:val="00351F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1F6F"/>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7D517D"/>
    <w:rPr>
      <w:color w:val="605E5C"/>
      <w:shd w:val="clear" w:color="auto" w:fill="E1DFDD"/>
    </w:rPr>
  </w:style>
  <w:style w:type="character" w:customStyle="1" w:styleId="berschrift3Zchn">
    <w:name w:val="Überschrift 3 Zchn"/>
    <w:basedOn w:val="Absatz-Standardschriftart"/>
    <w:link w:val="berschrift3"/>
    <w:uiPriority w:val="9"/>
    <w:rsid w:val="00EF5B14"/>
    <w:rPr>
      <w:rFonts w:ascii="Verdana" w:eastAsia="Times New Roman" w:hAnsi="Verdana" w:cs="Times New Roman"/>
      <w:b/>
      <w:bCs/>
      <w:szCs w:val="27"/>
      <w:lang w:eastAsia="de-DE"/>
    </w:rPr>
  </w:style>
  <w:style w:type="paragraph" w:styleId="StandardWeb">
    <w:name w:val="Normal (Web)"/>
    <w:basedOn w:val="Standard"/>
    <w:uiPriority w:val="99"/>
    <w:semiHidden/>
    <w:unhideWhenUsed/>
    <w:rsid w:val="007D51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D517D"/>
    <w:rPr>
      <w:b/>
      <w:bCs/>
    </w:rPr>
  </w:style>
  <w:style w:type="character" w:styleId="BesuchterLink">
    <w:name w:val="FollowedHyperlink"/>
    <w:basedOn w:val="Absatz-Standardschriftart"/>
    <w:uiPriority w:val="99"/>
    <w:semiHidden/>
    <w:unhideWhenUsed/>
    <w:rsid w:val="00EC7C7D"/>
    <w:rPr>
      <w:color w:val="954F72" w:themeColor="followedHyperlink"/>
      <w:u w:val="single"/>
    </w:rPr>
  </w:style>
  <w:style w:type="table" w:customStyle="1" w:styleId="Tabellenraster1">
    <w:name w:val="Tabellenraster1"/>
    <w:basedOn w:val="NormaleTabelle"/>
    <w:next w:val="Tabellenraster"/>
    <w:uiPriority w:val="39"/>
    <w:rsid w:val="0061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61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rd"/>
    <w:next w:val="Standard"/>
    <w:uiPriority w:val="99"/>
    <w:rsid w:val="00990482"/>
    <w:pPr>
      <w:autoSpaceDE w:val="0"/>
      <w:autoSpaceDN w:val="0"/>
      <w:adjustRightInd w:val="0"/>
      <w:spacing w:after="0" w:line="171" w:lineRule="atLeast"/>
    </w:pPr>
    <w:rPr>
      <w:rFonts w:ascii="Soleto" w:hAnsi="Soleto"/>
      <w:sz w:val="24"/>
      <w:szCs w:val="24"/>
    </w:rPr>
  </w:style>
  <w:style w:type="character" w:customStyle="1" w:styleId="A9">
    <w:name w:val="A9"/>
    <w:uiPriority w:val="99"/>
    <w:rsid w:val="00BF4B9C"/>
    <w:rPr>
      <w:rFonts w:cs="Open Sans Light"/>
      <w:color w:val="000000"/>
      <w:sz w:val="10"/>
      <w:szCs w:val="10"/>
    </w:rPr>
  </w:style>
  <w:style w:type="character" w:styleId="Kommentarzeichen">
    <w:name w:val="annotation reference"/>
    <w:basedOn w:val="Absatz-Standardschriftart"/>
    <w:uiPriority w:val="99"/>
    <w:semiHidden/>
    <w:unhideWhenUsed/>
    <w:rsid w:val="00614AB0"/>
    <w:rPr>
      <w:sz w:val="16"/>
      <w:szCs w:val="16"/>
    </w:rPr>
  </w:style>
  <w:style w:type="paragraph" w:styleId="Kommentartext">
    <w:name w:val="annotation text"/>
    <w:basedOn w:val="Standard"/>
    <w:link w:val="KommentartextZchn"/>
    <w:uiPriority w:val="99"/>
    <w:unhideWhenUsed/>
    <w:rsid w:val="00614AB0"/>
    <w:pPr>
      <w:spacing w:line="240" w:lineRule="auto"/>
    </w:pPr>
    <w:rPr>
      <w:sz w:val="20"/>
      <w:szCs w:val="20"/>
    </w:rPr>
  </w:style>
  <w:style w:type="character" w:customStyle="1" w:styleId="KommentartextZchn">
    <w:name w:val="Kommentartext Zchn"/>
    <w:basedOn w:val="Absatz-Standardschriftart"/>
    <w:link w:val="Kommentartext"/>
    <w:uiPriority w:val="99"/>
    <w:rsid w:val="00614AB0"/>
    <w:rPr>
      <w:sz w:val="20"/>
      <w:szCs w:val="20"/>
    </w:rPr>
  </w:style>
  <w:style w:type="paragraph" w:styleId="Kommentarthema">
    <w:name w:val="annotation subject"/>
    <w:basedOn w:val="Kommentartext"/>
    <w:next w:val="Kommentartext"/>
    <w:link w:val="KommentarthemaZchn"/>
    <w:uiPriority w:val="99"/>
    <w:semiHidden/>
    <w:unhideWhenUsed/>
    <w:rsid w:val="00614AB0"/>
    <w:rPr>
      <w:b/>
      <w:bCs/>
    </w:rPr>
  </w:style>
  <w:style w:type="character" w:customStyle="1" w:styleId="KommentarthemaZchn">
    <w:name w:val="Kommentarthema Zchn"/>
    <w:basedOn w:val="KommentartextZchn"/>
    <w:link w:val="Kommentarthema"/>
    <w:uiPriority w:val="99"/>
    <w:semiHidden/>
    <w:rsid w:val="00614AB0"/>
    <w:rPr>
      <w:b/>
      <w:bCs/>
      <w:sz w:val="20"/>
      <w:szCs w:val="20"/>
    </w:rPr>
  </w:style>
  <w:style w:type="character" w:styleId="NichtaufgelsteErwhnung">
    <w:name w:val="Unresolved Mention"/>
    <w:basedOn w:val="Absatz-Standardschriftart"/>
    <w:uiPriority w:val="99"/>
    <w:semiHidden/>
    <w:unhideWhenUsed/>
    <w:rsid w:val="00943219"/>
    <w:rPr>
      <w:color w:val="605E5C"/>
      <w:shd w:val="clear" w:color="auto" w:fill="E1DFDD"/>
    </w:rPr>
  </w:style>
  <w:style w:type="character" w:customStyle="1" w:styleId="berschrift1Zchn">
    <w:name w:val="Überschrift 1 Zchn"/>
    <w:basedOn w:val="Absatz-Standardschriftart"/>
    <w:link w:val="berschrift1"/>
    <w:uiPriority w:val="9"/>
    <w:rsid w:val="00EF5B14"/>
    <w:rPr>
      <w:rFonts w:ascii="Verdana" w:eastAsiaTheme="majorEastAsia" w:hAnsi="Verdana" w:cstheme="majorBidi"/>
      <w:b/>
      <w:szCs w:val="32"/>
    </w:rPr>
  </w:style>
  <w:style w:type="character" w:customStyle="1" w:styleId="berschrift2Zchn">
    <w:name w:val="Überschrift 2 Zchn"/>
    <w:basedOn w:val="Absatz-Standardschriftart"/>
    <w:link w:val="berschrift2"/>
    <w:uiPriority w:val="9"/>
    <w:rsid w:val="00EF5B14"/>
    <w:rPr>
      <w:rFonts w:ascii="Verdana" w:eastAsiaTheme="majorEastAsia" w:hAnsi="Verdana" w:cstheme="majorBidi"/>
      <w:b/>
      <w:szCs w:val="26"/>
    </w:rPr>
  </w:style>
  <w:style w:type="character" w:customStyle="1" w:styleId="berschrift4Zchn">
    <w:name w:val="Überschrift 4 Zchn"/>
    <w:basedOn w:val="Absatz-Standardschriftart"/>
    <w:link w:val="berschrift4"/>
    <w:uiPriority w:val="9"/>
    <w:semiHidden/>
    <w:rsid w:val="00AF7B2A"/>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F7B2A"/>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F7B2A"/>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F7B2A"/>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F7B2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F7B2A"/>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D220F4"/>
    <w:pPr>
      <w:numPr>
        <w:numId w:val="0"/>
      </w:numPr>
      <w:spacing w:before="240" w:after="0"/>
      <w:jc w:val="left"/>
      <w:outlineLvl w:val="9"/>
    </w:pPr>
    <w:rPr>
      <w:rFonts w:asciiTheme="majorHAnsi" w:hAnsiTheme="majorHAnsi"/>
      <w:b w:val="0"/>
      <w:color w:val="2F5496" w:themeColor="accent1" w:themeShade="BF"/>
      <w:sz w:val="32"/>
      <w:lang w:eastAsia="de-DE"/>
    </w:rPr>
  </w:style>
  <w:style w:type="paragraph" w:styleId="Verzeichnis2">
    <w:name w:val="toc 2"/>
    <w:basedOn w:val="Standard"/>
    <w:next w:val="Standard"/>
    <w:autoRedefine/>
    <w:uiPriority w:val="39"/>
    <w:unhideWhenUsed/>
    <w:rsid w:val="00D220F4"/>
    <w:pPr>
      <w:spacing w:after="100"/>
      <w:ind w:left="220"/>
    </w:pPr>
  </w:style>
  <w:style w:type="paragraph" w:styleId="Verzeichnis3">
    <w:name w:val="toc 3"/>
    <w:basedOn w:val="Standard"/>
    <w:next w:val="Standard"/>
    <w:autoRedefine/>
    <w:uiPriority w:val="39"/>
    <w:unhideWhenUsed/>
    <w:rsid w:val="00D220F4"/>
    <w:pPr>
      <w:spacing w:after="100"/>
      <w:ind w:left="440"/>
    </w:pPr>
  </w:style>
  <w:style w:type="paragraph" w:styleId="Verzeichnis1">
    <w:name w:val="toc 1"/>
    <w:basedOn w:val="Standard"/>
    <w:next w:val="Standard"/>
    <w:autoRedefine/>
    <w:uiPriority w:val="39"/>
    <w:unhideWhenUsed/>
    <w:rsid w:val="00901F1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0755">
      <w:bodyDiv w:val="1"/>
      <w:marLeft w:val="0"/>
      <w:marRight w:val="0"/>
      <w:marTop w:val="0"/>
      <w:marBottom w:val="0"/>
      <w:divBdr>
        <w:top w:val="none" w:sz="0" w:space="0" w:color="auto"/>
        <w:left w:val="none" w:sz="0" w:space="0" w:color="auto"/>
        <w:bottom w:val="none" w:sz="0" w:space="0" w:color="auto"/>
        <w:right w:val="none" w:sz="0" w:space="0" w:color="auto"/>
      </w:divBdr>
    </w:div>
    <w:div w:id="561600327">
      <w:bodyDiv w:val="1"/>
      <w:marLeft w:val="0"/>
      <w:marRight w:val="0"/>
      <w:marTop w:val="0"/>
      <w:marBottom w:val="0"/>
      <w:divBdr>
        <w:top w:val="none" w:sz="0" w:space="0" w:color="auto"/>
        <w:left w:val="none" w:sz="0" w:space="0" w:color="auto"/>
        <w:bottom w:val="none" w:sz="0" w:space="0" w:color="auto"/>
        <w:right w:val="none" w:sz="0" w:space="0" w:color="auto"/>
      </w:divBdr>
    </w:div>
    <w:div w:id="1386373084">
      <w:bodyDiv w:val="1"/>
      <w:marLeft w:val="0"/>
      <w:marRight w:val="0"/>
      <w:marTop w:val="0"/>
      <w:marBottom w:val="0"/>
      <w:divBdr>
        <w:top w:val="none" w:sz="0" w:space="0" w:color="auto"/>
        <w:left w:val="none" w:sz="0" w:space="0" w:color="auto"/>
        <w:bottom w:val="none" w:sz="0" w:space="0" w:color="auto"/>
        <w:right w:val="none" w:sz="0" w:space="0" w:color="auto"/>
      </w:divBdr>
      <w:divsChild>
        <w:div w:id="524564076">
          <w:marLeft w:val="403"/>
          <w:marRight w:val="0"/>
          <w:marTop w:val="0"/>
          <w:marBottom w:val="180"/>
          <w:divBdr>
            <w:top w:val="none" w:sz="0" w:space="0" w:color="auto"/>
            <w:left w:val="none" w:sz="0" w:space="0" w:color="auto"/>
            <w:bottom w:val="none" w:sz="0" w:space="0" w:color="auto"/>
            <w:right w:val="none" w:sz="0" w:space="0" w:color="auto"/>
          </w:divBdr>
        </w:div>
      </w:divsChild>
    </w:div>
    <w:div w:id="1394548537">
      <w:bodyDiv w:val="1"/>
      <w:marLeft w:val="0"/>
      <w:marRight w:val="0"/>
      <w:marTop w:val="0"/>
      <w:marBottom w:val="0"/>
      <w:divBdr>
        <w:top w:val="none" w:sz="0" w:space="0" w:color="auto"/>
        <w:left w:val="none" w:sz="0" w:space="0" w:color="auto"/>
        <w:bottom w:val="none" w:sz="0" w:space="0" w:color="auto"/>
        <w:right w:val="none" w:sz="0" w:space="0" w:color="auto"/>
      </w:divBdr>
      <w:divsChild>
        <w:div w:id="907422335">
          <w:marLeft w:val="403"/>
          <w:marRight w:val="0"/>
          <w:marTop w:val="0"/>
          <w:marBottom w:val="120"/>
          <w:divBdr>
            <w:top w:val="none" w:sz="0" w:space="0" w:color="auto"/>
            <w:left w:val="none" w:sz="0" w:space="0" w:color="auto"/>
            <w:bottom w:val="none" w:sz="0" w:space="0" w:color="auto"/>
            <w:right w:val="none" w:sz="0" w:space="0" w:color="auto"/>
          </w:divBdr>
        </w:div>
      </w:divsChild>
    </w:div>
    <w:div w:id="1599094197">
      <w:bodyDiv w:val="1"/>
      <w:marLeft w:val="0"/>
      <w:marRight w:val="0"/>
      <w:marTop w:val="0"/>
      <w:marBottom w:val="0"/>
      <w:divBdr>
        <w:top w:val="none" w:sz="0" w:space="0" w:color="auto"/>
        <w:left w:val="none" w:sz="0" w:space="0" w:color="auto"/>
        <w:bottom w:val="none" w:sz="0" w:space="0" w:color="auto"/>
        <w:right w:val="none" w:sz="0" w:space="0" w:color="auto"/>
      </w:divBdr>
      <w:divsChild>
        <w:div w:id="2133399719">
          <w:marLeft w:val="403"/>
          <w:marRight w:val="0"/>
          <w:marTop w:val="0"/>
          <w:marBottom w:val="240"/>
          <w:divBdr>
            <w:top w:val="none" w:sz="0" w:space="0" w:color="auto"/>
            <w:left w:val="none" w:sz="0" w:space="0" w:color="auto"/>
            <w:bottom w:val="none" w:sz="0" w:space="0" w:color="auto"/>
            <w:right w:val="none" w:sz="0" w:space="0" w:color="auto"/>
          </w:divBdr>
        </w:div>
      </w:divsChild>
    </w:div>
    <w:div w:id="1757896642">
      <w:bodyDiv w:val="1"/>
      <w:marLeft w:val="0"/>
      <w:marRight w:val="0"/>
      <w:marTop w:val="0"/>
      <w:marBottom w:val="0"/>
      <w:divBdr>
        <w:top w:val="none" w:sz="0" w:space="0" w:color="auto"/>
        <w:left w:val="none" w:sz="0" w:space="0" w:color="auto"/>
        <w:bottom w:val="none" w:sz="0" w:space="0" w:color="auto"/>
        <w:right w:val="none" w:sz="0" w:space="0" w:color="auto"/>
      </w:divBdr>
      <w:divsChild>
        <w:div w:id="1750150163">
          <w:marLeft w:val="403"/>
          <w:marRight w:val="0"/>
          <w:marTop w:val="0"/>
          <w:marBottom w:val="240"/>
          <w:divBdr>
            <w:top w:val="none" w:sz="0" w:space="0" w:color="auto"/>
            <w:left w:val="none" w:sz="0" w:space="0" w:color="auto"/>
            <w:bottom w:val="none" w:sz="0" w:space="0" w:color="auto"/>
            <w:right w:val="none" w:sz="0" w:space="0" w:color="auto"/>
          </w:divBdr>
        </w:div>
      </w:divsChild>
    </w:div>
    <w:div w:id="1759717399">
      <w:bodyDiv w:val="1"/>
      <w:marLeft w:val="0"/>
      <w:marRight w:val="0"/>
      <w:marTop w:val="0"/>
      <w:marBottom w:val="0"/>
      <w:divBdr>
        <w:top w:val="none" w:sz="0" w:space="0" w:color="auto"/>
        <w:left w:val="none" w:sz="0" w:space="0" w:color="auto"/>
        <w:bottom w:val="none" w:sz="0" w:space="0" w:color="auto"/>
        <w:right w:val="none" w:sz="0" w:space="0" w:color="auto"/>
      </w:divBdr>
      <w:divsChild>
        <w:div w:id="1842234967">
          <w:marLeft w:val="0"/>
          <w:marRight w:val="0"/>
          <w:marTop w:val="0"/>
          <w:marBottom w:val="0"/>
          <w:divBdr>
            <w:top w:val="none" w:sz="0" w:space="0" w:color="auto"/>
            <w:left w:val="none" w:sz="0" w:space="0" w:color="auto"/>
            <w:bottom w:val="none" w:sz="0" w:space="0" w:color="auto"/>
            <w:right w:val="none" w:sz="0" w:space="0" w:color="auto"/>
          </w:divBdr>
        </w:div>
        <w:div w:id="519590262">
          <w:marLeft w:val="0"/>
          <w:marRight w:val="0"/>
          <w:marTop w:val="0"/>
          <w:marBottom w:val="0"/>
          <w:divBdr>
            <w:top w:val="none" w:sz="0" w:space="0" w:color="auto"/>
            <w:left w:val="none" w:sz="0" w:space="0" w:color="auto"/>
            <w:bottom w:val="none" w:sz="0" w:space="0" w:color="auto"/>
            <w:right w:val="none" w:sz="0" w:space="0" w:color="auto"/>
          </w:divBdr>
        </w:div>
        <w:div w:id="793788391">
          <w:marLeft w:val="0"/>
          <w:marRight w:val="0"/>
          <w:marTop w:val="0"/>
          <w:marBottom w:val="0"/>
          <w:divBdr>
            <w:top w:val="none" w:sz="0" w:space="0" w:color="auto"/>
            <w:left w:val="none" w:sz="0" w:space="0" w:color="auto"/>
            <w:bottom w:val="none" w:sz="0" w:space="0" w:color="auto"/>
            <w:right w:val="none" w:sz="0" w:space="0" w:color="auto"/>
          </w:divBdr>
        </w:div>
        <w:div w:id="591746483">
          <w:marLeft w:val="0"/>
          <w:marRight w:val="0"/>
          <w:marTop w:val="0"/>
          <w:marBottom w:val="0"/>
          <w:divBdr>
            <w:top w:val="none" w:sz="0" w:space="0" w:color="auto"/>
            <w:left w:val="none" w:sz="0" w:space="0" w:color="auto"/>
            <w:bottom w:val="none" w:sz="0" w:space="0" w:color="auto"/>
            <w:right w:val="none" w:sz="0" w:space="0" w:color="auto"/>
          </w:divBdr>
        </w:div>
        <w:div w:id="1630283091">
          <w:marLeft w:val="0"/>
          <w:marRight w:val="0"/>
          <w:marTop w:val="0"/>
          <w:marBottom w:val="0"/>
          <w:divBdr>
            <w:top w:val="none" w:sz="0" w:space="0" w:color="auto"/>
            <w:left w:val="none" w:sz="0" w:space="0" w:color="auto"/>
            <w:bottom w:val="none" w:sz="0" w:space="0" w:color="auto"/>
            <w:right w:val="none" w:sz="0" w:space="0" w:color="auto"/>
          </w:divBdr>
        </w:div>
        <w:div w:id="2022589060">
          <w:marLeft w:val="0"/>
          <w:marRight w:val="0"/>
          <w:marTop w:val="0"/>
          <w:marBottom w:val="0"/>
          <w:divBdr>
            <w:top w:val="none" w:sz="0" w:space="0" w:color="auto"/>
            <w:left w:val="none" w:sz="0" w:space="0" w:color="auto"/>
            <w:bottom w:val="none" w:sz="0" w:space="0" w:color="auto"/>
            <w:right w:val="none" w:sz="0" w:space="0" w:color="auto"/>
          </w:divBdr>
        </w:div>
        <w:div w:id="1372801839">
          <w:marLeft w:val="0"/>
          <w:marRight w:val="0"/>
          <w:marTop w:val="0"/>
          <w:marBottom w:val="0"/>
          <w:divBdr>
            <w:top w:val="none" w:sz="0" w:space="0" w:color="auto"/>
            <w:left w:val="none" w:sz="0" w:space="0" w:color="auto"/>
            <w:bottom w:val="none" w:sz="0" w:space="0" w:color="auto"/>
            <w:right w:val="none" w:sz="0" w:space="0" w:color="auto"/>
          </w:divBdr>
        </w:div>
        <w:div w:id="1548645221">
          <w:marLeft w:val="0"/>
          <w:marRight w:val="0"/>
          <w:marTop w:val="0"/>
          <w:marBottom w:val="0"/>
          <w:divBdr>
            <w:top w:val="none" w:sz="0" w:space="0" w:color="auto"/>
            <w:left w:val="none" w:sz="0" w:space="0" w:color="auto"/>
            <w:bottom w:val="none" w:sz="0" w:space="0" w:color="auto"/>
            <w:right w:val="none" w:sz="0" w:space="0" w:color="auto"/>
          </w:divBdr>
        </w:div>
        <w:div w:id="54161214">
          <w:marLeft w:val="0"/>
          <w:marRight w:val="0"/>
          <w:marTop w:val="0"/>
          <w:marBottom w:val="0"/>
          <w:divBdr>
            <w:top w:val="none" w:sz="0" w:space="0" w:color="auto"/>
            <w:left w:val="none" w:sz="0" w:space="0" w:color="auto"/>
            <w:bottom w:val="none" w:sz="0" w:space="0" w:color="auto"/>
            <w:right w:val="none" w:sz="0" w:space="0" w:color="auto"/>
          </w:divBdr>
        </w:div>
        <w:div w:id="1112557631">
          <w:marLeft w:val="0"/>
          <w:marRight w:val="0"/>
          <w:marTop w:val="0"/>
          <w:marBottom w:val="0"/>
          <w:divBdr>
            <w:top w:val="none" w:sz="0" w:space="0" w:color="auto"/>
            <w:left w:val="none" w:sz="0" w:space="0" w:color="auto"/>
            <w:bottom w:val="none" w:sz="0" w:space="0" w:color="auto"/>
            <w:right w:val="none" w:sz="0" w:space="0" w:color="auto"/>
          </w:divBdr>
        </w:div>
        <w:div w:id="862478301">
          <w:marLeft w:val="0"/>
          <w:marRight w:val="0"/>
          <w:marTop w:val="0"/>
          <w:marBottom w:val="0"/>
          <w:divBdr>
            <w:top w:val="none" w:sz="0" w:space="0" w:color="auto"/>
            <w:left w:val="none" w:sz="0" w:space="0" w:color="auto"/>
            <w:bottom w:val="none" w:sz="0" w:space="0" w:color="auto"/>
            <w:right w:val="none" w:sz="0" w:space="0" w:color="auto"/>
          </w:divBdr>
        </w:div>
        <w:div w:id="1283920901">
          <w:marLeft w:val="0"/>
          <w:marRight w:val="0"/>
          <w:marTop w:val="0"/>
          <w:marBottom w:val="0"/>
          <w:divBdr>
            <w:top w:val="none" w:sz="0" w:space="0" w:color="auto"/>
            <w:left w:val="none" w:sz="0" w:space="0" w:color="auto"/>
            <w:bottom w:val="none" w:sz="0" w:space="0" w:color="auto"/>
            <w:right w:val="none" w:sz="0" w:space="0" w:color="auto"/>
          </w:divBdr>
        </w:div>
        <w:div w:id="170923460">
          <w:marLeft w:val="0"/>
          <w:marRight w:val="0"/>
          <w:marTop w:val="0"/>
          <w:marBottom w:val="0"/>
          <w:divBdr>
            <w:top w:val="none" w:sz="0" w:space="0" w:color="auto"/>
            <w:left w:val="none" w:sz="0" w:space="0" w:color="auto"/>
            <w:bottom w:val="none" w:sz="0" w:space="0" w:color="auto"/>
            <w:right w:val="none" w:sz="0" w:space="0" w:color="auto"/>
          </w:divBdr>
        </w:div>
        <w:div w:id="225534914">
          <w:marLeft w:val="0"/>
          <w:marRight w:val="0"/>
          <w:marTop w:val="0"/>
          <w:marBottom w:val="0"/>
          <w:divBdr>
            <w:top w:val="none" w:sz="0" w:space="0" w:color="auto"/>
            <w:left w:val="none" w:sz="0" w:space="0" w:color="auto"/>
            <w:bottom w:val="none" w:sz="0" w:space="0" w:color="auto"/>
            <w:right w:val="none" w:sz="0" w:space="0" w:color="auto"/>
          </w:divBdr>
        </w:div>
        <w:div w:id="862551976">
          <w:marLeft w:val="0"/>
          <w:marRight w:val="0"/>
          <w:marTop w:val="0"/>
          <w:marBottom w:val="0"/>
          <w:divBdr>
            <w:top w:val="none" w:sz="0" w:space="0" w:color="auto"/>
            <w:left w:val="none" w:sz="0" w:space="0" w:color="auto"/>
            <w:bottom w:val="none" w:sz="0" w:space="0" w:color="auto"/>
            <w:right w:val="none" w:sz="0" w:space="0" w:color="auto"/>
          </w:divBdr>
        </w:div>
        <w:div w:id="254100542">
          <w:marLeft w:val="0"/>
          <w:marRight w:val="0"/>
          <w:marTop w:val="0"/>
          <w:marBottom w:val="0"/>
          <w:divBdr>
            <w:top w:val="none" w:sz="0" w:space="0" w:color="auto"/>
            <w:left w:val="none" w:sz="0" w:space="0" w:color="auto"/>
            <w:bottom w:val="none" w:sz="0" w:space="0" w:color="auto"/>
            <w:right w:val="none" w:sz="0" w:space="0" w:color="auto"/>
          </w:divBdr>
        </w:div>
        <w:div w:id="381639878">
          <w:marLeft w:val="0"/>
          <w:marRight w:val="0"/>
          <w:marTop w:val="0"/>
          <w:marBottom w:val="0"/>
          <w:divBdr>
            <w:top w:val="none" w:sz="0" w:space="0" w:color="auto"/>
            <w:left w:val="none" w:sz="0" w:space="0" w:color="auto"/>
            <w:bottom w:val="none" w:sz="0" w:space="0" w:color="auto"/>
            <w:right w:val="none" w:sz="0" w:space="0" w:color="auto"/>
          </w:divBdr>
        </w:div>
        <w:div w:id="1320964933">
          <w:marLeft w:val="0"/>
          <w:marRight w:val="0"/>
          <w:marTop w:val="0"/>
          <w:marBottom w:val="0"/>
          <w:divBdr>
            <w:top w:val="none" w:sz="0" w:space="0" w:color="auto"/>
            <w:left w:val="none" w:sz="0" w:space="0" w:color="auto"/>
            <w:bottom w:val="none" w:sz="0" w:space="0" w:color="auto"/>
            <w:right w:val="none" w:sz="0" w:space="0" w:color="auto"/>
          </w:divBdr>
        </w:div>
        <w:div w:id="334646752">
          <w:marLeft w:val="0"/>
          <w:marRight w:val="0"/>
          <w:marTop w:val="0"/>
          <w:marBottom w:val="0"/>
          <w:divBdr>
            <w:top w:val="none" w:sz="0" w:space="0" w:color="auto"/>
            <w:left w:val="none" w:sz="0" w:space="0" w:color="auto"/>
            <w:bottom w:val="none" w:sz="0" w:space="0" w:color="auto"/>
            <w:right w:val="none" w:sz="0" w:space="0" w:color="auto"/>
          </w:divBdr>
        </w:div>
        <w:div w:id="692076438">
          <w:marLeft w:val="0"/>
          <w:marRight w:val="0"/>
          <w:marTop w:val="0"/>
          <w:marBottom w:val="0"/>
          <w:divBdr>
            <w:top w:val="none" w:sz="0" w:space="0" w:color="auto"/>
            <w:left w:val="none" w:sz="0" w:space="0" w:color="auto"/>
            <w:bottom w:val="none" w:sz="0" w:space="0" w:color="auto"/>
            <w:right w:val="none" w:sz="0" w:space="0" w:color="auto"/>
          </w:divBdr>
        </w:div>
        <w:div w:id="149055581">
          <w:marLeft w:val="0"/>
          <w:marRight w:val="0"/>
          <w:marTop w:val="0"/>
          <w:marBottom w:val="0"/>
          <w:divBdr>
            <w:top w:val="none" w:sz="0" w:space="0" w:color="auto"/>
            <w:left w:val="none" w:sz="0" w:space="0" w:color="auto"/>
            <w:bottom w:val="none" w:sz="0" w:space="0" w:color="auto"/>
            <w:right w:val="none" w:sz="0" w:space="0" w:color="auto"/>
          </w:divBdr>
        </w:div>
      </w:divsChild>
    </w:div>
    <w:div w:id="2108184582">
      <w:bodyDiv w:val="1"/>
      <w:marLeft w:val="0"/>
      <w:marRight w:val="0"/>
      <w:marTop w:val="0"/>
      <w:marBottom w:val="0"/>
      <w:divBdr>
        <w:top w:val="none" w:sz="0" w:space="0" w:color="auto"/>
        <w:left w:val="none" w:sz="0" w:space="0" w:color="auto"/>
        <w:bottom w:val="none" w:sz="0" w:space="0" w:color="auto"/>
        <w:right w:val="none" w:sz="0" w:space="0" w:color="auto"/>
      </w:divBdr>
      <w:divsChild>
        <w:div w:id="636421754">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ad.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info@itad.de"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54339b-7076-4fc1-addd-49c7a5f740b9">S3VQATF42TXK-232149723-62327</_dlc_DocId>
    <_dlc_DocIdUrl xmlns="1c54339b-7076-4fc1-addd-49c7a5f740b9">
      <Url>https://itadduesseldorf.sharepoint.com/sites/ITAD/_layouts/15/DocIdRedir.aspx?ID=S3VQATF42TXK-232149723-62327</Url>
      <Description>S3VQATF42TXK-232149723-62327</Description>
    </_dlc_DocIdUrl>
    <TaxCatchAll xmlns="1c54339b-7076-4fc1-addd-49c7a5f740b9" xsi:nil="true"/>
    <lcf76f155ced4ddcb4097134ff3c332f xmlns="6301a7b7-c6e3-42ec-9cab-1c481372abb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36AB706E6EC8F940B3C65BBD951DA2C2" ma:contentTypeVersion="15" ma:contentTypeDescription="Ein neues Dokument erstellen." ma:contentTypeScope="" ma:versionID="0a418ae96a1292fa8c1ae15bbca18bce">
  <xsd:schema xmlns:xsd="http://www.w3.org/2001/XMLSchema" xmlns:xs="http://www.w3.org/2001/XMLSchema" xmlns:p="http://schemas.microsoft.com/office/2006/metadata/properties" xmlns:ns2="1c54339b-7076-4fc1-addd-49c7a5f740b9" xmlns:ns3="6301a7b7-c6e3-42ec-9cab-1c481372abb2" targetNamespace="http://schemas.microsoft.com/office/2006/metadata/properties" ma:root="true" ma:fieldsID="cfb757836b8327e0290af916af124f33" ns2:_="" ns3:_="">
    <xsd:import namespace="1c54339b-7076-4fc1-addd-49c7a5f740b9"/>
    <xsd:import namespace="6301a7b7-c6e3-42ec-9cab-1c481372ab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4339b-7076-4fc1-addd-49c7a5f740b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7bace07e-9521-4490-b745-1816015d8789}" ma:internalName="TaxCatchAll" ma:showField="CatchAllData" ma:web="1c54339b-7076-4fc1-addd-49c7a5f740b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1a7b7-c6e3-42ec-9cab-1c481372ab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9e0e3c6f-83ab-4d78-a871-e4bf835b6d1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65F14-E08C-4053-A097-5B9FC69920DC}">
  <ds:schemaRefs>
    <ds:schemaRef ds:uri="http://schemas.microsoft.com/office/2006/metadata/properties"/>
    <ds:schemaRef ds:uri="http://schemas.microsoft.com/office/infopath/2007/PartnerControls"/>
    <ds:schemaRef ds:uri="1c54339b-7076-4fc1-addd-49c7a5f740b9"/>
    <ds:schemaRef ds:uri="6301a7b7-c6e3-42ec-9cab-1c481372abb2"/>
  </ds:schemaRefs>
</ds:datastoreItem>
</file>

<file path=customXml/itemProps2.xml><?xml version="1.0" encoding="utf-8"?>
<ds:datastoreItem xmlns:ds="http://schemas.openxmlformats.org/officeDocument/2006/customXml" ds:itemID="{53FCEE7A-6414-4592-B3EB-92154AAA9243}">
  <ds:schemaRefs>
    <ds:schemaRef ds:uri="http://schemas.openxmlformats.org/officeDocument/2006/bibliography"/>
  </ds:schemaRefs>
</ds:datastoreItem>
</file>

<file path=customXml/itemProps3.xml><?xml version="1.0" encoding="utf-8"?>
<ds:datastoreItem xmlns:ds="http://schemas.openxmlformats.org/officeDocument/2006/customXml" ds:itemID="{4BB7F102-4160-4AE6-8AB3-766A301F4B43}">
  <ds:schemaRefs>
    <ds:schemaRef ds:uri="http://schemas.microsoft.com/sharepoint/v3/contenttype/forms"/>
  </ds:schemaRefs>
</ds:datastoreItem>
</file>

<file path=customXml/itemProps4.xml><?xml version="1.0" encoding="utf-8"?>
<ds:datastoreItem xmlns:ds="http://schemas.openxmlformats.org/officeDocument/2006/customXml" ds:itemID="{C3E3D933-9620-4719-AB64-672B8989A350}">
  <ds:schemaRefs>
    <ds:schemaRef ds:uri="http://schemas.microsoft.com/sharepoint/events"/>
  </ds:schemaRefs>
</ds:datastoreItem>
</file>

<file path=customXml/itemProps5.xml><?xml version="1.0" encoding="utf-8"?>
<ds:datastoreItem xmlns:ds="http://schemas.openxmlformats.org/officeDocument/2006/customXml" ds:itemID="{66DA0373-BB73-478C-B8EF-3B33B4344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4339b-7076-4fc1-addd-49c7a5f740b9"/>
    <ds:schemaRef ds:uri="6301a7b7-c6e3-42ec-9cab-1c481372a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4418</Words>
  <Characters>27834</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32188</CharactersWithSpaces>
  <SharedDoc>false</SharedDoc>
  <HLinks>
    <vt:vector size="12" baseType="variant">
      <vt:variant>
        <vt:i4>6815780</vt:i4>
      </vt:variant>
      <vt:variant>
        <vt:i4>3</vt:i4>
      </vt:variant>
      <vt:variant>
        <vt:i4>0</vt:i4>
      </vt:variant>
      <vt:variant>
        <vt:i4>5</vt:i4>
      </vt:variant>
      <vt:variant>
        <vt:lpwstr>http://www.itad.de/</vt:lpwstr>
      </vt:variant>
      <vt:variant>
        <vt:lpwstr/>
      </vt:variant>
      <vt:variant>
        <vt:i4>5832813</vt:i4>
      </vt:variant>
      <vt:variant>
        <vt:i4>0</vt:i4>
      </vt:variant>
      <vt:variant>
        <vt:i4>0</vt:i4>
      </vt:variant>
      <vt:variant>
        <vt:i4>5</vt:i4>
      </vt:variant>
      <vt:variant>
        <vt:lpwstr>mailto:info@itad.de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wens@itad.de</dc:creator>
  <cp:lastModifiedBy>Dr. Bastian Wens</cp:lastModifiedBy>
  <cp:revision>355</cp:revision>
  <cp:lastPrinted>2021-02-26T12:36:00Z</cp:lastPrinted>
  <dcterms:created xsi:type="dcterms:W3CDTF">2025-01-14T13:13:00Z</dcterms:created>
  <dcterms:modified xsi:type="dcterms:W3CDTF">2025-01-15T08:25:00Z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0x01010036AB706E6EC8F940B3C65BBD951DA2C2</vt:lpwstr>
  </property>
  <property fmtid="{D5CDD505-2E9C-101B-9397-08002B2CF9AE}" pid="3" name="_dlc_DocIdItemGuid">
    <vt:lpwstr>0fa7c0a0-3b36-4478-9985-6425cde71a6b</vt:lpwstr>
  </property>
  <property fmtid="{D5CDD505-2E9C-101B-9397-08002B2CF9AE}" pid="4" name="MediaServiceImageTags">
    <vt:lpwstr/>
  </property>
</Properties>
</file>