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320426892"/>
        <w:docPartObj>
          <w:docPartGallery w:val="Cover Pages"/>
          <w:docPartUnique/>
        </w:docPartObj>
      </w:sdtPr>
      <w:sdtEndPr/>
      <w:sdtContent>
        <w:p w14:paraId="1BBCEF16" w14:textId="70BB181B" w:rsidR="00B93206" w:rsidRPr="00F821FC" w:rsidRDefault="008C47DB" w:rsidP="00221F32">
          <w:pPr>
            <w:spacing w:line="240" w:lineRule="auto"/>
            <w:sectPr w:rsidR="00B93206" w:rsidRPr="00F821FC" w:rsidSect="00892ADD">
              <w:headerReference w:type="even" r:id="rId8"/>
              <w:headerReference w:type="default" r:id="rId9"/>
              <w:footerReference w:type="default" r:id="rId10"/>
              <w:headerReference w:type="first" r:id="rId11"/>
              <w:type w:val="continuous"/>
              <w:pgSz w:w="11906" w:h="16838" w:code="9"/>
              <w:pgMar w:top="1522" w:right="1134" w:bottom="1843" w:left="1814" w:header="851" w:footer="581" w:gutter="0"/>
              <w:pgNumType w:start="1"/>
              <w:cols w:space="284"/>
              <w:titlePg/>
              <w:docGrid w:linePitch="360"/>
            </w:sectPr>
          </w:pPr>
          <w:r>
            <w:rPr>
              <w:noProof/>
            </w:rPr>
            <mc:AlternateContent>
              <mc:Choice Requires="wps">
                <w:drawing>
                  <wp:anchor distT="45720" distB="45720" distL="114300" distR="114300" simplePos="0" relativeHeight="251656192" behindDoc="0" locked="0" layoutInCell="1" allowOverlap="1" wp14:anchorId="1E016E7B" wp14:editId="24E67120">
                    <wp:simplePos x="0" y="0"/>
                    <wp:positionH relativeFrom="column">
                      <wp:posOffset>1905</wp:posOffset>
                    </wp:positionH>
                    <wp:positionV relativeFrom="page">
                      <wp:posOffset>1109980</wp:posOffset>
                    </wp:positionV>
                    <wp:extent cx="5719445" cy="382905"/>
                    <wp:effectExtent l="57150" t="57150" r="0" b="0"/>
                    <wp:wrapNone/>
                    <wp:docPr id="1131784054"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9445" cy="382905"/>
                            </a:xfrm>
                            <a:prstGeom prst="rect">
                              <a:avLst/>
                            </a:prstGeom>
                            <a:noFill/>
                            <a:ln w="9525">
                              <a:noFill/>
                              <a:miter lim="800000"/>
                              <a:headEnd/>
                              <a:tailEnd/>
                            </a:ln>
                            <a:effectLst/>
                            <a:scene3d>
                              <a:camera prst="orthographicFront"/>
                              <a:lightRig rig="threePt" dir="t"/>
                            </a:scene3d>
                            <a:sp3d/>
                          </wps:spPr>
                          <wps:txbx>
                            <w:txbxContent>
                              <w:p w14:paraId="214F028D" w14:textId="0ACE75A7" w:rsidR="0044472E" w:rsidRPr="002930B0" w:rsidRDefault="009E3A3C" w:rsidP="00F52260">
                                <w:pPr>
                                  <w:pStyle w:val="Kategorie"/>
                                  <w:pBdr>
                                    <w:bottom w:val="none" w:sz="0" w:space="0" w:color="auto"/>
                                  </w:pBdr>
                                  <w:rPr>
                                    <w:szCs w:val="38"/>
                                    <w:lang w:val="de-DE"/>
                                  </w:rPr>
                                </w:pPr>
                                <w:r>
                                  <w:rPr>
                                    <w:szCs w:val="38"/>
                                    <w:lang w:val="de-DE"/>
                                  </w:rPr>
                                  <w:t>STELLUNGNAHME</w:t>
                                </w:r>
                                <w:r w:rsidR="00B112AF" w:rsidRPr="002930B0">
                                  <w:rPr>
                                    <w:szCs w:val="38"/>
                                    <w:lang w:val="de-DE"/>
                                  </w:rPr>
                                  <w:t xml:space="preserve"> </w:t>
                                </w:r>
                                <w:r w:rsidR="00C576C1" w:rsidRPr="002930B0">
                                  <w:rPr>
                                    <w:szCs w:val="38"/>
                                    <w:lang w:val="de-DE"/>
                                  </w:rPr>
                                  <w:t xml:space="preserve">| </w:t>
                                </w:r>
                                <w:sdt>
                                  <w:sdtPr>
                                    <w:rPr>
                                      <w:szCs w:val="38"/>
                                    </w:rPr>
                                    <w:alias w:val="Politikbereich"/>
                                    <w:tag w:val="Politikbereich"/>
                                    <w:id w:val="-1839924224"/>
                                    <w:lock w:val="sdtLocked"/>
                                    <w:placeholder>
                                      <w:docPart w:val="FD6204F1A1124627B4160ACB280084CB"/>
                                    </w:placeholder>
                                    <w:text/>
                                  </w:sdtPr>
                                  <w:sdtEndPr/>
                                  <w:sdtContent>
                                    <w:r w:rsidR="00CC1C76">
                                      <w:rPr>
                                        <w:szCs w:val="38"/>
                                      </w:rPr>
                                      <w:t>Umweltpolitik</w:t>
                                    </w:r>
                                  </w:sdtContent>
                                </w:sdt>
                                <w:r w:rsidR="00C576C1" w:rsidRPr="002930B0">
                                  <w:rPr>
                                    <w:szCs w:val="38"/>
                                    <w:lang w:val="de-DE"/>
                                  </w:rPr>
                                  <w:t xml:space="preserve"> | </w:t>
                                </w:r>
                                <w:r w:rsidR="001D4B6E">
                                  <w:rPr>
                                    <w:szCs w:val="38"/>
                                    <w:lang w:val="de-DE"/>
                                  </w:rPr>
                                  <w:t>I</w:t>
                                </w:r>
                                <w:r w:rsidR="00F25495">
                                  <w:rPr>
                                    <w:szCs w:val="38"/>
                                  </w:rPr>
                                  <w:t>NDUSTRIEANLAGEn</w:t>
                                </w:r>
                                <w:sdt>
                                  <w:sdtPr>
                                    <w:rPr>
                                      <w:szCs w:val="38"/>
                                    </w:rPr>
                                    <w:alias w:val="Stichwort"/>
                                    <w:tag w:val="Stichwort"/>
                                    <w:id w:val="-201721268"/>
                                    <w:lock w:val="sdtLocked"/>
                                    <w:placeholder>
                                      <w:docPart w:val="FD6204F1A1124627B4160ACB280084CB"/>
                                    </w:placeholder>
                                  </w:sdtPr>
                                  <w:sdtEndPr/>
                                  <w:sdtContent>
                                    <w:r w:rsidR="00A80DD7">
                                      <w:rPr>
                                        <w:szCs w:val="38"/>
                                        <w:lang w:val="de-DE"/>
                                      </w:rPr>
                                      <w:t xml:space="preserve"> </w:t>
                                    </w:r>
                                  </w:sdtContent>
                                </w:sdt>
                              </w:p>
                            </w:txbxContent>
                          </wps:txbx>
                          <wps:bodyPr rot="0" vert="horz" wrap="square" lIns="0" tIns="0" rIns="90000" bIns="4680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016E7B" id="_x0000_t202" coordsize="21600,21600" o:spt="202" path="m,l,21600r21600,l21600,xe">
                    <v:stroke joinstyle="miter"/>
                    <v:path gradientshapeok="t" o:connecttype="rect"/>
                  </v:shapetype>
                  <v:shape id="Textfeld 3" o:spid="_x0000_s1026" type="#_x0000_t202" style="position:absolute;left:0;text-align:left;margin-left:.15pt;margin-top:87.4pt;width:450.35pt;height:30.1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" filled="f" stroked="f">
                    <v:textbox inset="0,0,2.5mm,1.3mm">
                      <w:txbxContent>
                        <w:p w14:paraId="214F028D" w14:textId="0ACE75A7" w:rsidR="0044472E" w:rsidRPr="002930B0" w:rsidRDefault="009E3A3C" w:rsidP="00F52260">
                          <w:pPr>
                            <w:pStyle w:val="Kategorie"/>
                            <w:pBdr>
                              <w:bottom w:val="none" w:sz="0" w:space="0" w:color="auto"/>
                            </w:pBdr>
                            <w:rPr>
                              <w:szCs w:val="38"/>
                              <w:lang w:val="de-DE"/>
                            </w:rPr>
                          </w:pPr>
                          <w:r>
                            <w:rPr>
                              <w:szCs w:val="38"/>
                              <w:lang w:val="de-DE"/>
                            </w:rPr>
                            <w:t>STELLUNGNAHME</w:t>
                          </w:r>
                          <w:r w:rsidR="00B112AF" w:rsidRPr="002930B0">
                            <w:rPr>
                              <w:szCs w:val="38"/>
                              <w:lang w:val="de-DE"/>
                            </w:rPr>
                            <w:t xml:space="preserve"> </w:t>
                          </w:r>
                          <w:r w:rsidR="00C576C1" w:rsidRPr="002930B0">
                            <w:rPr>
                              <w:szCs w:val="38"/>
                              <w:lang w:val="de-DE"/>
                            </w:rPr>
                            <w:t xml:space="preserve">| </w:t>
                          </w:r>
                          <w:sdt>
                            <w:sdtPr>
                              <w:rPr>
                                <w:szCs w:val="38"/>
                              </w:rPr>
                              <w:alias w:val="Politikbereich"/>
                              <w:tag w:val="Politikbereich"/>
                              <w:id w:val="-1839924224"/>
                              <w:lock w:val="sdtLocked"/>
                              <w:placeholder>
                                <w:docPart w:val="FD6204F1A1124627B4160ACB280084CB"/>
                              </w:placeholder>
                              <w:text/>
                            </w:sdtPr>
                            <w:sdtEndPr/>
                            <w:sdtContent>
                              <w:r w:rsidR="00CC1C76">
                                <w:rPr>
                                  <w:szCs w:val="38"/>
                                </w:rPr>
                                <w:t>Umweltpolitik</w:t>
                              </w:r>
                            </w:sdtContent>
                          </w:sdt>
                          <w:r w:rsidR="00C576C1" w:rsidRPr="002930B0">
                            <w:rPr>
                              <w:szCs w:val="38"/>
                              <w:lang w:val="de-DE"/>
                            </w:rPr>
                            <w:t xml:space="preserve"> | </w:t>
                          </w:r>
                          <w:r w:rsidR="001D4B6E">
                            <w:rPr>
                              <w:szCs w:val="38"/>
                              <w:lang w:val="de-DE"/>
                            </w:rPr>
                            <w:t>I</w:t>
                          </w:r>
                          <w:r w:rsidR="00F25495">
                            <w:rPr>
                              <w:szCs w:val="38"/>
                            </w:rPr>
                            <w:t>NDUSTRIEANLAGEn</w:t>
                          </w:r>
                          <w:sdt>
                            <w:sdtPr>
                              <w:rPr>
                                <w:szCs w:val="38"/>
                              </w:rPr>
                              <w:alias w:val="Stichwort"/>
                              <w:tag w:val="Stichwort"/>
                              <w:id w:val="-201721268"/>
                              <w:lock w:val="sdtLocked"/>
                              <w:placeholder>
                                <w:docPart w:val="FD6204F1A1124627B4160ACB280084CB"/>
                              </w:placeholder>
                            </w:sdtPr>
                            <w:sdtEndPr/>
                            <w:sdtContent>
                              <w:r w:rsidR="00A80DD7">
                                <w:rPr>
                                  <w:szCs w:val="38"/>
                                  <w:lang w:val="de-DE"/>
                                </w:rPr>
                                <w:t xml:space="preserve"> </w:t>
                              </w:r>
                            </w:sdtContent>
                          </w:sdt>
                        </w:p>
                      </w:txbxContent>
                    </v:textbox>
                    <w10:wrap anchory="page"/>
                  </v:shape>
                </w:pict>
              </mc:Fallback>
            </mc:AlternateContent>
          </w:r>
        </w:p>
        <w:p w14:paraId="3A2CEBB8" w14:textId="6BAA2181" w:rsidR="001F58CB" w:rsidRDefault="003B073A" w:rsidP="00221F32">
          <w:pPr>
            <w:pStyle w:val="Cover1"/>
            <w:spacing w:line="240" w:lineRule="auto"/>
          </w:pPr>
          <w:r w:rsidRPr="00F821FC">
            <w:rPr>
              <w:noProof/>
              <w:lang w:eastAsia="de-DE"/>
            </w:rPr>
            <mc:AlternateContent>
              <mc:Choice Requires="wps">
                <w:drawing>
                  <wp:anchor distT="45720" distB="45720" distL="114300" distR="114300" simplePos="0" relativeHeight="251661312" behindDoc="0" locked="1" layoutInCell="1" allowOverlap="1" wp14:anchorId="78D433F1" wp14:editId="6813BE90">
                    <wp:simplePos x="0" y="0"/>
                    <wp:positionH relativeFrom="margin">
                      <wp:align>left</wp:align>
                    </wp:positionH>
                    <wp:positionV relativeFrom="page">
                      <wp:posOffset>1422400</wp:posOffset>
                    </wp:positionV>
                    <wp:extent cx="5523865" cy="1460500"/>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3865" cy="1460500"/>
                            </a:xfrm>
                            <a:custGeom>
                              <a:avLst/>
                              <a:gdLst>
                                <a:gd name="connsiteX0" fmla="*/ 0 w 5523865"/>
                                <a:gd name="connsiteY0" fmla="*/ 0 h 1307465"/>
                                <a:gd name="connsiteX1" fmla="*/ 5523865 w 5523865"/>
                                <a:gd name="connsiteY1" fmla="*/ 0 h 1307465"/>
                                <a:gd name="connsiteX2" fmla="*/ 5523865 w 5523865"/>
                                <a:gd name="connsiteY2" fmla="*/ 1307465 h 1307465"/>
                                <a:gd name="connsiteX3" fmla="*/ 0 w 5523865"/>
                                <a:gd name="connsiteY3" fmla="*/ 1307465 h 1307465"/>
                                <a:gd name="connsiteX4" fmla="*/ 0 w 5523865"/>
                                <a:gd name="connsiteY4" fmla="*/ 0 h 1307465"/>
                                <a:gd name="connsiteX0" fmla="*/ 254 w 5524119"/>
                                <a:gd name="connsiteY0" fmla="*/ 0 h 1600708"/>
                                <a:gd name="connsiteX1" fmla="*/ 5524119 w 5524119"/>
                                <a:gd name="connsiteY1" fmla="*/ 0 h 1600708"/>
                                <a:gd name="connsiteX2" fmla="*/ 5524119 w 5524119"/>
                                <a:gd name="connsiteY2" fmla="*/ 1307465 h 1600708"/>
                                <a:gd name="connsiteX3" fmla="*/ 0 w 5524119"/>
                                <a:gd name="connsiteY3" fmla="*/ 1600708 h 1600708"/>
                                <a:gd name="connsiteX4" fmla="*/ 254 w 5524119"/>
                                <a:gd name="connsiteY4" fmla="*/ 0 h 1600708"/>
                                <a:gd name="connsiteX0" fmla="*/ 254 w 5524119"/>
                                <a:gd name="connsiteY0" fmla="*/ 0 h 1600708"/>
                                <a:gd name="connsiteX1" fmla="*/ 5524119 w 5524119"/>
                                <a:gd name="connsiteY1" fmla="*/ 0 h 1600708"/>
                                <a:gd name="connsiteX2" fmla="*/ 5518023 w 5524119"/>
                                <a:gd name="connsiteY2" fmla="*/ 1094037 h 1600708"/>
                                <a:gd name="connsiteX3" fmla="*/ 0 w 5524119"/>
                                <a:gd name="connsiteY3" fmla="*/ 1600708 h 1600708"/>
                                <a:gd name="connsiteX4" fmla="*/ 254 w 5524119"/>
                                <a:gd name="connsiteY4" fmla="*/ 0 h 1600708"/>
                                <a:gd name="connsiteX0" fmla="*/ 1 w 5523866"/>
                                <a:gd name="connsiteY0" fmla="*/ 0 h 1619002"/>
                                <a:gd name="connsiteX1" fmla="*/ 5523866 w 5523866"/>
                                <a:gd name="connsiteY1" fmla="*/ 0 h 1619002"/>
                                <a:gd name="connsiteX2" fmla="*/ 5517770 w 5523866"/>
                                <a:gd name="connsiteY2" fmla="*/ 1094037 h 1619002"/>
                                <a:gd name="connsiteX3" fmla="*/ 5843 w 5523866"/>
                                <a:gd name="connsiteY3" fmla="*/ 1619002 h 1619002"/>
                                <a:gd name="connsiteX4" fmla="*/ 1 w 5523866"/>
                                <a:gd name="connsiteY4" fmla="*/ 0 h 161900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523866" h="1619002">
                                  <a:moveTo>
                                    <a:pt x="1" y="0"/>
                                  </a:moveTo>
                                  <a:lnTo>
                                    <a:pt x="5523866" y="0"/>
                                  </a:lnTo>
                                  <a:lnTo>
                                    <a:pt x="5517770" y="1094037"/>
                                  </a:lnTo>
                                  <a:lnTo>
                                    <a:pt x="5843" y="1619002"/>
                                  </a:lnTo>
                                  <a:cubicBezTo>
                                    <a:pt x="5928" y="1085433"/>
                                    <a:pt x="-84" y="533569"/>
                                    <a:pt x="1" y="0"/>
                                  </a:cubicBezTo>
                                  <a:close/>
                                </a:path>
                              </a:pathLst>
                            </a:custGeom>
                            <a:noFill/>
                            <a:ln w="9525">
                              <a:noFill/>
                              <a:miter lim="800000"/>
                              <a:headEnd/>
                              <a:tailEnd/>
                            </a:ln>
                          </wps:spPr>
                          <wps:txbx>
                            <w:txbxContent>
                              <w:bookmarkStart w:id="0" w:name="_Toc496532219" w:displacedByCustomXml="next"/>
                              <w:sdt>
                                <w:sdtPr>
                                  <w:rPr>
                                    <w:sz w:val="40"/>
                                    <w:szCs w:val="40"/>
                                    <w:lang w:val="de-DE"/>
                                  </w:rPr>
                                  <w:alias w:val="Titel"/>
                                  <w:tag w:val=""/>
                                  <w:id w:val="-1468203025"/>
                                  <w:dataBinding w:prefixMappings="xmlns:ns0='http://purl.org/dc/elements/1.1/' xmlns:ns1='http://schemas.openxmlformats.org/package/2006/metadata/core-properties' " w:xpath="/ns1:coreProperties[1]/ns0:title[1]" w:storeItemID="{6C3C8BC8-F283-45AE-878A-BAB7291924A1}"/>
                                  <w:text/>
                                </w:sdtPr>
                                <w:sdtEndPr/>
                                <w:sdtContent>
                                  <w:p w14:paraId="355F1B7E" w14:textId="5AB6D700" w:rsidR="003B073A" w:rsidRPr="007808D3" w:rsidRDefault="0048582E" w:rsidP="003B073A">
                                    <w:pPr>
                                      <w:pStyle w:val="Titel"/>
                                      <w:rPr>
                                        <w:lang w:val="de-DE"/>
                                      </w:rPr>
                                    </w:pPr>
                                    <w:r>
                                      <w:rPr>
                                        <w:sz w:val="40"/>
                                        <w:szCs w:val="40"/>
                                        <w:lang w:val="de-DE"/>
                                      </w:rPr>
                                      <w:t xml:space="preserve">BDI zum </w:t>
                                    </w:r>
                                    <w:r w:rsidR="000F4898">
                                      <w:rPr>
                                        <w:sz w:val="40"/>
                                        <w:szCs w:val="40"/>
                                        <w:lang w:val="de-DE"/>
                                      </w:rPr>
                                      <w:t>Artikel</w:t>
                                    </w:r>
                                    <w:r>
                                      <w:rPr>
                                        <w:sz w:val="40"/>
                                        <w:szCs w:val="40"/>
                                        <w:lang w:val="de-DE"/>
                                      </w:rPr>
                                      <w:t>gesetz zur IED-Umsetzung</w:t>
                                    </w:r>
                                  </w:p>
                                </w:sdtContent>
                              </w:sdt>
                              <w:bookmarkEnd w:id="0" w:displacedByCustomXml="prev"/>
                              <w:p w14:paraId="4BDF0387" w14:textId="2DA93C2A" w:rsidR="00D93B20" w:rsidRPr="006F6B9F" w:rsidRDefault="00D228E1" w:rsidP="003B073A">
                                <w:pPr>
                                  <w:pStyle w:val="Untertitel"/>
                                  <w:rPr>
                                    <w:sz w:val="36"/>
                                    <w:szCs w:val="36"/>
                                    <w:lang w:val="de-DE"/>
                                  </w:rPr>
                                </w:pPr>
                                <w:r>
                                  <w:rPr>
                                    <w:sz w:val="36"/>
                                    <w:szCs w:val="36"/>
                                    <w:lang w:val="de-DE"/>
                                  </w:rPr>
                                  <w:t>Entwurf zur Änderung des BImSchG</w:t>
                                </w:r>
                                <w:r w:rsidR="00D96925">
                                  <w:rPr>
                                    <w:sz w:val="36"/>
                                    <w:szCs w:val="36"/>
                                    <w:lang w:val="de-DE"/>
                                  </w:rPr>
                                  <w:t xml:space="preserve"> und weiterer Gesetze</w:t>
                                </w:r>
                              </w:p>
                            </w:txbxContent>
                          </wps:txbx>
                          <wps:bodyPr rot="0" vert="horz" wrap="square" lIns="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8D433F1" id="Textfeld 2" o:spid="_x0000_s1027" style="position:absolute;left:0;text-align:left;margin-left:0;margin-top:112pt;width:434.95pt;height:11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page;mso-width-percent:0;mso-height-percent:0;mso-width-relative:margin;mso-height-relative:margin;v-text-anchor:top" coordsize="5523866,1619002"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" adj="-11796480,,5400" path="m1,l5523866,r-6096,1094037l5843,1619002c5928,1085433,-84,533569,1,xe" filled="f" stroked="f">
                    <v:stroke joinstyle="miter"/>
                    <v:formulas/>
                    <v:path arrowok="t" o:connecttype="custom" o:connectlocs="1,0;5523865,0;5517769,986930;5843,1460500;1,0" o:connectangles="0,0,0,0,0" textboxrect="0,0,5523866,1619002"/>
                    <v:textbox inset="0">
                      <w:txbxContent>
                        <w:bookmarkStart w:id="1" w:name="_Toc496532219" w:displacedByCustomXml="next"/>
                        <w:sdt>
                          <w:sdtPr>
                            <w:rPr>
                              <w:sz w:val="40"/>
                              <w:szCs w:val="40"/>
                              <w:lang w:val="de-DE"/>
                            </w:rPr>
                            <w:alias w:val="Titel"/>
                            <w:tag w:val=""/>
                            <w:id w:val="-1468203025"/>
                            <w:dataBinding w:prefixMappings="xmlns:ns0='http://purl.org/dc/elements/1.1/' xmlns:ns1='http://schemas.openxmlformats.org/package/2006/metadata/core-properties' " w:xpath="/ns1:coreProperties[1]/ns0:title[1]" w:storeItemID="{6C3C8BC8-F283-45AE-878A-BAB7291924A1}"/>
                            <w:text/>
                          </w:sdtPr>
                          <w:sdtEndPr/>
                          <w:sdtContent>
                            <w:p w14:paraId="355F1B7E" w14:textId="5AB6D700" w:rsidR="003B073A" w:rsidRPr="007808D3" w:rsidRDefault="0048582E" w:rsidP="003B073A">
                              <w:pPr>
                                <w:pStyle w:val="Titel"/>
                                <w:rPr>
                                  <w:lang w:val="de-DE"/>
                                </w:rPr>
                              </w:pPr>
                              <w:r>
                                <w:rPr>
                                  <w:sz w:val="40"/>
                                  <w:szCs w:val="40"/>
                                  <w:lang w:val="de-DE"/>
                                </w:rPr>
                                <w:t xml:space="preserve">BDI zum </w:t>
                              </w:r>
                              <w:r w:rsidR="000F4898">
                                <w:rPr>
                                  <w:sz w:val="40"/>
                                  <w:szCs w:val="40"/>
                                  <w:lang w:val="de-DE"/>
                                </w:rPr>
                                <w:t>Artikel</w:t>
                              </w:r>
                              <w:r>
                                <w:rPr>
                                  <w:sz w:val="40"/>
                                  <w:szCs w:val="40"/>
                                  <w:lang w:val="de-DE"/>
                                </w:rPr>
                                <w:t>gesetz zur IED-Umsetzung</w:t>
                              </w:r>
                            </w:p>
                          </w:sdtContent>
                        </w:sdt>
                        <w:bookmarkEnd w:id="1" w:displacedByCustomXml="prev"/>
                        <w:p w14:paraId="4BDF0387" w14:textId="2DA93C2A" w:rsidR="00D93B20" w:rsidRPr="006F6B9F" w:rsidRDefault="00D228E1" w:rsidP="003B073A">
                          <w:pPr>
                            <w:pStyle w:val="Untertitel"/>
                            <w:rPr>
                              <w:sz w:val="36"/>
                              <w:szCs w:val="36"/>
                              <w:lang w:val="de-DE"/>
                            </w:rPr>
                          </w:pPr>
                          <w:r>
                            <w:rPr>
                              <w:sz w:val="36"/>
                              <w:szCs w:val="36"/>
                              <w:lang w:val="de-DE"/>
                            </w:rPr>
                            <w:t>Entwurf zur Änderung des BImSchG</w:t>
                          </w:r>
                          <w:r w:rsidR="00D96925">
                            <w:rPr>
                              <w:sz w:val="36"/>
                              <w:szCs w:val="36"/>
                              <w:lang w:val="de-DE"/>
                            </w:rPr>
                            <w:t xml:space="preserve"> und weiterer Gesetze</w:t>
                          </w:r>
                        </w:p>
                      </w:txbxContent>
                    </v:textbox>
                    <w10:wrap anchorx="margin" anchory="page"/>
                    <w10:anchorlock/>
                  </v:shape>
                </w:pict>
              </mc:Fallback>
            </mc:AlternateContent>
          </w:r>
        </w:p>
        <w:p w14:paraId="685BCBAE" w14:textId="77777777" w:rsidR="0044472E" w:rsidRDefault="0044472E" w:rsidP="00221F32">
          <w:pPr>
            <w:pStyle w:val="Cover1"/>
            <w:spacing w:line="240" w:lineRule="auto"/>
          </w:pPr>
        </w:p>
        <w:p w14:paraId="24A1CA40" w14:textId="77777777" w:rsidR="0044472E" w:rsidRPr="00164451" w:rsidRDefault="0044472E" w:rsidP="00221F32">
          <w:pPr>
            <w:pStyle w:val="Cover1"/>
            <w:spacing w:line="240" w:lineRule="auto"/>
            <w:rPr>
              <w:lang w:val="de-DE"/>
            </w:rPr>
          </w:pPr>
        </w:p>
        <w:p w14:paraId="6F632746" w14:textId="77777777" w:rsidR="00D93B20" w:rsidRDefault="00D93B20" w:rsidP="00221F32">
          <w:pPr>
            <w:pStyle w:val="Cover1"/>
            <w:spacing w:line="240" w:lineRule="auto"/>
            <w:jc w:val="right"/>
            <w:rPr>
              <w:lang w:val="de-DE"/>
            </w:rPr>
          </w:pPr>
        </w:p>
        <w:p w14:paraId="7CB8A105" w14:textId="77777777" w:rsidR="00D93B20" w:rsidRDefault="00D93B20" w:rsidP="00221F32">
          <w:pPr>
            <w:pStyle w:val="Cover1"/>
            <w:spacing w:line="240" w:lineRule="auto"/>
            <w:jc w:val="right"/>
            <w:rPr>
              <w:lang w:val="de-DE"/>
            </w:rPr>
          </w:pPr>
        </w:p>
        <w:sdt>
          <w:sdtPr>
            <w:rPr>
              <w:highlight w:val="cyan"/>
              <w:lang w:val="de-DE"/>
            </w:rPr>
            <w:alias w:val="Datum"/>
            <w:tag w:val="Datum"/>
            <w:id w:val="-2140097762"/>
            <w:placeholder>
              <w:docPart w:val="B1862FBEC98046BCB8BDF45BB1368072"/>
            </w:placeholder>
            <w:text/>
          </w:sdtPr>
          <w:sdtEndPr/>
          <w:sdtContent>
            <w:p w14:paraId="2C55EE05" w14:textId="03D39DFA" w:rsidR="009D7259" w:rsidRPr="009D7259" w:rsidRDefault="00583944" w:rsidP="00221F32">
              <w:pPr>
                <w:pStyle w:val="Cover1"/>
                <w:spacing w:line="240" w:lineRule="auto"/>
                <w:jc w:val="right"/>
                <w:rPr>
                  <w:lang w:val="de-DE"/>
                </w:rPr>
              </w:pPr>
              <w:r>
                <w:rPr>
                  <w:highlight w:val="cyan"/>
                  <w:lang w:val="de-DE"/>
                </w:rPr>
                <w:t>6</w:t>
              </w:r>
              <w:r w:rsidR="00BC271C" w:rsidRPr="004A51E6">
                <w:rPr>
                  <w:highlight w:val="cyan"/>
                  <w:lang w:val="de-DE"/>
                </w:rPr>
                <w:t xml:space="preserve">. </w:t>
              </w:r>
              <w:r w:rsidR="00106BBF">
                <w:rPr>
                  <w:highlight w:val="cyan"/>
                  <w:lang w:val="de-DE"/>
                </w:rPr>
                <w:t>Januar</w:t>
              </w:r>
              <w:r w:rsidR="00BC1E27" w:rsidRPr="004A51E6">
                <w:rPr>
                  <w:highlight w:val="cyan"/>
                  <w:lang w:val="de-DE"/>
                </w:rPr>
                <w:t xml:space="preserve"> 202</w:t>
              </w:r>
              <w:r w:rsidR="00106BBF">
                <w:rPr>
                  <w:highlight w:val="cyan"/>
                  <w:lang w:val="de-DE"/>
                </w:rPr>
                <w:t>5</w:t>
              </w:r>
            </w:p>
          </w:sdtContent>
        </w:sdt>
        <w:p w14:paraId="406FBD1A" w14:textId="6FFC6FC6" w:rsidR="00D15D47" w:rsidRDefault="00FF253C" w:rsidP="00221F32">
          <w:pPr>
            <w:pStyle w:val="berschrift1"/>
            <w:spacing w:line="240" w:lineRule="auto"/>
            <w:rPr>
              <w:lang w:val="de-DE"/>
            </w:rPr>
          </w:pPr>
          <w:bookmarkStart w:id="2" w:name="_Hlk96608085"/>
          <w:bookmarkStart w:id="3" w:name="_Toc187072901"/>
          <w:r>
            <w:rPr>
              <w:lang w:val="de-DE"/>
            </w:rPr>
            <w:t>Zusammenfassung</w:t>
          </w:r>
          <w:bookmarkEnd w:id="3"/>
        </w:p>
        <w:p w14:paraId="196EE194" w14:textId="0A91208C" w:rsidR="00084142" w:rsidRDefault="00FA759C" w:rsidP="00FA759C">
          <w:pPr>
            <w:spacing w:after="200"/>
            <w:rPr>
              <w:lang w:val="de-DE"/>
            </w:rPr>
          </w:pPr>
          <w:r w:rsidRPr="007E1D5C">
            <w:rPr>
              <w:lang w:val="de-DE"/>
            </w:rPr>
            <w:t xml:space="preserve">Die EU-Richtlinie über Industrieemissionen (IED) ist grundlegend neu gefasst worden und muss </w:t>
          </w:r>
          <w:r>
            <w:rPr>
              <w:lang w:val="de-DE"/>
            </w:rPr>
            <w:t>bis zum 1. Juli 2026</w:t>
          </w:r>
          <w:r w:rsidRPr="007E1D5C">
            <w:rPr>
              <w:lang w:val="de-DE"/>
            </w:rPr>
            <w:t xml:space="preserve"> in deutsches Recht umgesetzt werden.</w:t>
          </w:r>
          <w:r>
            <w:rPr>
              <w:lang w:val="de-DE"/>
            </w:rPr>
            <w:t xml:space="preserve"> Das BMUV hat am </w:t>
          </w:r>
          <w:r w:rsidR="00084142">
            <w:rPr>
              <w:lang w:val="de-DE"/>
            </w:rPr>
            <w:t xml:space="preserve">28.11.2024 den </w:t>
          </w:r>
          <w:r w:rsidR="00653A79">
            <w:rPr>
              <w:lang w:val="de-DE"/>
            </w:rPr>
            <w:t>Referentene</w:t>
          </w:r>
          <w:r w:rsidR="00084142">
            <w:rPr>
              <w:lang w:val="de-DE"/>
            </w:rPr>
            <w:t xml:space="preserve">ntwurf für ein </w:t>
          </w:r>
          <w:r w:rsidR="00233116">
            <w:rPr>
              <w:lang w:val="de-DE"/>
            </w:rPr>
            <w:t>Artikel</w:t>
          </w:r>
          <w:r w:rsidR="00084142">
            <w:rPr>
              <w:lang w:val="de-DE"/>
            </w:rPr>
            <w:t xml:space="preserve">gesetz und den </w:t>
          </w:r>
          <w:r w:rsidR="00653A79">
            <w:rPr>
              <w:lang w:val="de-DE"/>
            </w:rPr>
            <w:t>Referentene</w:t>
          </w:r>
          <w:r w:rsidR="00084142">
            <w:rPr>
              <w:lang w:val="de-DE"/>
            </w:rPr>
            <w:t xml:space="preserve">ntwurf für eine Mantelverordnung zur </w:t>
          </w:r>
          <w:r w:rsidR="00084142" w:rsidRPr="00DB403A">
            <w:rPr>
              <w:lang w:val="de-DE"/>
            </w:rPr>
            <w:t>IED-Umsetzung vorgelegt.</w:t>
          </w:r>
          <w:r w:rsidR="00084142">
            <w:rPr>
              <w:lang w:val="de-DE"/>
            </w:rPr>
            <w:t xml:space="preserve"> </w:t>
          </w:r>
        </w:p>
        <w:p w14:paraId="73ADBEFA" w14:textId="496D0CC2" w:rsidR="00026020" w:rsidRPr="00026020" w:rsidRDefault="00FA759C" w:rsidP="00026020">
          <w:pPr>
            <w:spacing w:after="200"/>
            <w:rPr>
              <w:lang w:val="de-DE"/>
            </w:rPr>
          </w:pPr>
          <w:r w:rsidRPr="003E1DF2">
            <w:rPr>
              <w:lang w:val="de-DE"/>
            </w:rPr>
            <w:t xml:space="preserve">Die </w:t>
          </w:r>
          <w:r w:rsidR="000A0DDB">
            <w:rPr>
              <w:lang w:val="de-DE"/>
            </w:rPr>
            <w:t>neuen Regelungen</w:t>
          </w:r>
          <w:r w:rsidRPr="003E1DF2">
            <w:rPr>
              <w:lang w:val="de-DE"/>
            </w:rPr>
            <w:t xml:space="preserve"> der IED </w:t>
          </w:r>
          <w:r w:rsidR="000A0DDB">
            <w:rPr>
              <w:lang w:val="de-DE"/>
            </w:rPr>
            <w:t>führen zu</w:t>
          </w:r>
          <w:r w:rsidRPr="003E1DF2">
            <w:rPr>
              <w:lang w:val="de-DE"/>
            </w:rPr>
            <w:t xml:space="preserve"> eine</w:t>
          </w:r>
          <w:r w:rsidR="000A0DDB">
            <w:rPr>
              <w:lang w:val="de-DE"/>
            </w:rPr>
            <w:t>m</w:t>
          </w:r>
          <w:r w:rsidRPr="003E1DF2">
            <w:rPr>
              <w:lang w:val="de-DE"/>
            </w:rPr>
            <w:t xml:space="preserve"> erheblichen </w:t>
          </w:r>
          <w:r w:rsidRPr="006153F3">
            <w:rPr>
              <w:b/>
              <w:bCs/>
              <w:lang w:val="de-DE"/>
            </w:rPr>
            <w:t>finanziellen Mehraufwand</w:t>
          </w:r>
          <w:r w:rsidRPr="003E1DF2">
            <w:rPr>
              <w:lang w:val="de-DE"/>
            </w:rPr>
            <w:t xml:space="preserve"> und </w:t>
          </w:r>
          <w:r w:rsidRPr="006153F3">
            <w:rPr>
              <w:b/>
              <w:bCs/>
              <w:lang w:val="de-DE"/>
            </w:rPr>
            <w:t>zusätzliche</w:t>
          </w:r>
          <w:r w:rsidR="004E4AFF">
            <w:rPr>
              <w:b/>
              <w:bCs/>
              <w:lang w:val="de-DE"/>
            </w:rPr>
            <w:t>r</w:t>
          </w:r>
          <w:r w:rsidRPr="006153F3">
            <w:rPr>
              <w:b/>
              <w:bCs/>
              <w:lang w:val="de-DE"/>
            </w:rPr>
            <w:t xml:space="preserve"> Bürokratie</w:t>
          </w:r>
          <w:r w:rsidRPr="003E1DF2">
            <w:rPr>
              <w:lang w:val="de-DE"/>
            </w:rPr>
            <w:t xml:space="preserve"> für die Betreiber von </w:t>
          </w:r>
          <w:r w:rsidR="004E4AFF">
            <w:rPr>
              <w:lang w:val="de-DE"/>
            </w:rPr>
            <w:t xml:space="preserve">tausenden </w:t>
          </w:r>
          <w:r w:rsidRPr="003E1DF2">
            <w:rPr>
              <w:lang w:val="de-DE"/>
            </w:rPr>
            <w:t xml:space="preserve">Industrieanlagen. </w:t>
          </w:r>
          <w:r w:rsidR="00026020" w:rsidRPr="00026020">
            <w:rPr>
              <w:highlight w:val="cyan"/>
              <w:lang w:val="de-DE"/>
            </w:rPr>
            <w:t xml:space="preserve">Die nationalen Umsetzungsvorschläge, die das BMUV vorgelegt hat, gehen jedoch noch darüber hinaus und bedeuten zusätzliche Kosten für die Unternehmen ohne europarechtliche Notwendigkeit. </w:t>
          </w:r>
          <w:r w:rsidR="00BC3450">
            <w:rPr>
              <w:highlight w:val="cyan"/>
              <w:lang w:val="de-DE"/>
            </w:rPr>
            <w:t xml:space="preserve">Dies ist </w:t>
          </w:r>
          <w:r w:rsidR="00BC3450" w:rsidRPr="003D39E6">
            <w:rPr>
              <w:b/>
              <w:bCs/>
              <w:highlight w:val="cyan"/>
              <w:lang w:val="de-DE"/>
            </w:rPr>
            <w:t>keine</w:t>
          </w:r>
          <w:r w:rsidR="00026020" w:rsidRPr="00026020">
            <w:rPr>
              <w:b/>
              <w:bCs/>
              <w:highlight w:val="cyan"/>
              <w:lang w:val="de-DE"/>
            </w:rPr>
            <w:t xml:space="preserve"> 1:1 Umsetzung der IED</w:t>
          </w:r>
          <w:r w:rsidR="00026020" w:rsidRPr="00026020">
            <w:rPr>
              <w:highlight w:val="cyan"/>
              <w:lang w:val="de-DE"/>
            </w:rPr>
            <w:t>.</w:t>
          </w:r>
        </w:p>
        <w:p w14:paraId="6B847064" w14:textId="41CC8CE2" w:rsidR="00026020" w:rsidRPr="00026020" w:rsidRDefault="00026020" w:rsidP="00026020">
          <w:pPr>
            <w:spacing w:after="200"/>
            <w:rPr>
              <w:highlight w:val="cyan"/>
              <w:lang w:val="de-DE"/>
            </w:rPr>
          </w:pPr>
          <w:r w:rsidRPr="00026020">
            <w:rPr>
              <w:highlight w:val="cyan"/>
              <w:lang w:val="de-DE"/>
            </w:rPr>
            <w:t xml:space="preserve">Die </w:t>
          </w:r>
          <w:r w:rsidR="00BC3450">
            <w:rPr>
              <w:highlight w:val="cyan"/>
              <w:lang w:val="de-DE"/>
            </w:rPr>
            <w:t>d</w:t>
          </w:r>
          <w:r w:rsidRPr="00026020">
            <w:rPr>
              <w:highlight w:val="cyan"/>
              <w:lang w:val="de-DE"/>
            </w:rPr>
            <w:t xml:space="preserve">eutsche </w:t>
          </w:r>
          <w:r w:rsidR="00BC3450">
            <w:rPr>
              <w:highlight w:val="cyan"/>
              <w:lang w:val="de-DE"/>
            </w:rPr>
            <w:t>Industrie</w:t>
          </w:r>
          <w:r w:rsidRPr="00026020">
            <w:rPr>
              <w:highlight w:val="cyan"/>
              <w:lang w:val="de-DE"/>
            </w:rPr>
            <w:t xml:space="preserve"> befindet sich in einer tiefgreifenden, nicht nur konjunkturellen, sondern auch strukturellen Krise. Wesentliche Leitbranchen der Industrie ächzen unter immer weiter verschärften bürokratischen Anforderungen, die zu einem großen Teil auf europarechtlichen Vorgaben beruhen. </w:t>
          </w:r>
        </w:p>
        <w:p w14:paraId="1611290E" w14:textId="0FB274F1" w:rsidR="00117791" w:rsidRPr="00963E49" w:rsidRDefault="00026020" w:rsidP="00026020">
          <w:pPr>
            <w:spacing w:after="200"/>
            <w:rPr>
              <w:highlight w:val="cyan"/>
              <w:lang w:val="de-DE"/>
            </w:rPr>
          </w:pPr>
          <w:r w:rsidRPr="00117791">
            <w:rPr>
              <w:highlight w:val="cyan"/>
              <w:lang w:val="de-DE"/>
            </w:rPr>
            <w:t xml:space="preserve">Investitionen dürfen </w:t>
          </w:r>
          <w:r w:rsidR="00963E49">
            <w:rPr>
              <w:highlight w:val="cyan"/>
              <w:lang w:val="de-DE"/>
            </w:rPr>
            <w:t xml:space="preserve">aber </w:t>
          </w:r>
          <w:r w:rsidRPr="00117791">
            <w:rPr>
              <w:highlight w:val="cyan"/>
              <w:lang w:val="de-DE"/>
            </w:rPr>
            <w:t>nicht erschwert, sondern müssen wieder angereizt we</w:t>
          </w:r>
          <w:r w:rsidRPr="00810354">
            <w:rPr>
              <w:highlight w:val="cyan"/>
              <w:lang w:val="de-DE"/>
            </w:rPr>
            <w:t>rden.</w:t>
          </w:r>
          <w:r w:rsidR="00963E49" w:rsidRPr="00810354">
            <w:rPr>
              <w:highlight w:val="cyan"/>
              <w:lang w:val="de-DE"/>
            </w:rPr>
            <w:t xml:space="preserve"> </w:t>
          </w:r>
          <w:r w:rsidR="00284A31" w:rsidRPr="00810354">
            <w:rPr>
              <w:highlight w:val="cyan"/>
              <w:lang w:val="de-DE"/>
            </w:rPr>
            <w:t>Die notwendige Transformation der Wirtschaft zur Klimaneutralität darf nicht verzögert werden.</w:t>
          </w:r>
          <w:r w:rsidR="00284A31" w:rsidRPr="00284A31">
            <w:rPr>
              <w:lang w:val="de-DE"/>
            </w:rPr>
            <w:t xml:space="preserve"> </w:t>
          </w:r>
          <w:r w:rsidR="00117791" w:rsidRPr="003E1DF2">
            <w:rPr>
              <w:lang w:val="de-DE"/>
            </w:rPr>
            <w:t xml:space="preserve">Diese Transformation kann bei gleichzeitiger Sicherung unseres Wohlstandes nur mit einer starken industriellen Basis technologisch und ökonomisch gelingen. Zusätzliche Kosten durch eine entsprechende nationale und EU-Umweltgesetzgebung können eine Ursache von mehreren darstellen, die dazu führen, dass Unternehmen in ihren Investitionsentscheidungen zu Best </w:t>
          </w:r>
          <w:proofErr w:type="spellStart"/>
          <w:r w:rsidR="00117791" w:rsidRPr="003E1DF2">
            <w:rPr>
              <w:lang w:val="de-DE"/>
            </w:rPr>
            <w:t>Cost-Countries</w:t>
          </w:r>
          <w:proofErr w:type="spellEnd"/>
          <w:r w:rsidR="00117791" w:rsidRPr="003E1DF2">
            <w:rPr>
              <w:lang w:val="de-DE"/>
            </w:rPr>
            <w:t xml:space="preserve"> optieren. Dort herrschen oftmals wesentlich geringere Umweltschutzstandards vor.</w:t>
          </w:r>
          <w:r w:rsidR="00117791" w:rsidRPr="003B3F58">
            <w:rPr>
              <w:lang w:val="de-DE"/>
            </w:rPr>
            <w:t xml:space="preserve"> </w:t>
          </w:r>
          <w:r w:rsidR="00117791" w:rsidRPr="00BF3CB1">
            <w:rPr>
              <w:lang w:val="de-DE"/>
            </w:rPr>
            <w:t xml:space="preserve"> </w:t>
          </w:r>
        </w:p>
        <w:p w14:paraId="2FB7C532" w14:textId="77777777" w:rsidR="00117791" w:rsidRPr="00117791" w:rsidRDefault="00117791" w:rsidP="00117791">
          <w:pPr>
            <w:spacing w:after="200"/>
            <w:rPr>
              <w:lang w:val="de-DE"/>
            </w:rPr>
          </w:pPr>
          <w:r w:rsidRPr="00117791">
            <w:rPr>
              <w:highlight w:val="cyan"/>
              <w:lang w:val="de-DE"/>
            </w:rPr>
            <w:t>Es muss daher bei jeder Umsetzung in deutsches Recht darauf geachtet werden, dass alle europarechtlichen Spielräume weitestgehend genutzt werden.</w:t>
          </w:r>
          <w:r w:rsidRPr="00117791">
            <w:rPr>
              <w:lang w:val="de-DE"/>
            </w:rPr>
            <w:t xml:space="preserve"> </w:t>
          </w:r>
        </w:p>
        <w:p w14:paraId="1EF61D7F" w14:textId="77777777" w:rsidR="00F47D9C" w:rsidRDefault="00F47D9C" w:rsidP="0064075B">
          <w:pPr>
            <w:spacing w:after="200"/>
            <w:rPr>
              <w:lang w:val="de-DE"/>
            </w:rPr>
          </w:pPr>
        </w:p>
        <w:p w14:paraId="4612B729" w14:textId="73047597" w:rsidR="0064075B" w:rsidRPr="000C492C" w:rsidRDefault="0064075B" w:rsidP="0064075B">
          <w:pPr>
            <w:spacing w:after="200"/>
            <w:rPr>
              <w:lang w:val="de-DE"/>
            </w:rPr>
          </w:pPr>
          <w:r w:rsidRPr="003E1DF2">
            <w:rPr>
              <w:lang w:val="de-DE"/>
            </w:rPr>
            <w:lastRenderedPageBreak/>
            <w:t xml:space="preserve">In diesem Papier formuliert der </w:t>
          </w:r>
          <w:proofErr w:type="gramStart"/>
          <w:r w:rsidRPr="003E1DF2">
            <w:rPr>
              <w:lang w:val="de-DE"/>
            </w:rPr>
            <w:t>BDI Vorschläge</w:t>
          </w:r>
          <w:proofErr w:type="gramEnd"/>
          <w:r w:rsidRPr="003B3F58">
            <w:rPr>
              <w:lang w:val="de-DE"/>
            </w:rPr>
            <w:t xml:space="preserve"> </w:t>
          </w:r>
          <w:r>
            <w:rPr>
              <w:lang w:val="de-DE"/>
            </w:rPr>
            <w:t xml:space="preserve">für </w:t>
          </w:r>
          <w:r w:rsidRPr="003B3F58">
            <w:rPr>
              <w:lang w:val="de-DE"/>
            </w:rPr>
            <w:t>die Umsetzung der Richtlinie über Industrieemissionen</w:t>
          </w:r>
          <w:r>
            <w:rPr>
              <w:lang w:val="de-DE"/>
            </w:rPr>
            <w:t xml:space="preserve"> im </w:t>
          </w:r>
          <w:r>
            <w:rPr>
              <w:b/>
              <w:bCs/>
              <w:lang w:val="de-DE"/>
            </w:rPr>
            <w:t>Artikel</w:t>
          </w:r>
          <w:r w:rsidRPr="00DF79F7">
            <w:rPr>
              <w:b/>
              <w:bCs/>
              <w:lang w:val="de-DE"/>
            </w:rPr>
            <w:t>gesetz</w:t>
          </w:r>
          <w:r>
            <w:rPr>
              <w:lang w:val="de-DE"/>
            </w:rPr>
            <w:t>. Mit dem Artikelgesetz sollen Änderungen im Bundes-Immissionsschutzgesetz (BImSchG), im Kreislaufwirtschaftsgesetz, dem Bundesberggesetz und dem Umwelt-</w:t>
          </w:r>
          <w:r w:rsidRPr="000C492C">
            <w:rPr>
              <w:lang w:val="de-DE"/>
            </w:rPr>
            <w:t>Rechtsbehelfsgesetz erfolgen.</w:t>
          </w:r>
          <w:r w:rsidR="004B3579">
            <w:rPr>
              <w:lang w:val="de-DE"/>
            </w:rPr>
            <w:t xml:space="preserve"> </w:t>
          </w:r>
          <w:r w:rsidR="001B75A1" w:rsidRPr="001B75A1">
            <w:rPr>
              <w:highlight w:val="cyan"/>
              <w:lang w:val="de-DE"/>
            </w:rPr>
            <w:t>(Zur Mantelverordnung zur IED-Umsetzung hat der BDI ebenfalls eine Stellungnahme veröffentlicht.)</w:t>
          </w:r>
        </w:p>
        <w:p w14:paraId="016100F9" w14:textId="633E5A67" w:rsidR="00117791" w:rsidRDefault="0064075B" w:rsidP="00026020">
          <w:pPr>
            <w:spacing w:after="200"/>
            <w:rPr>
              <w:lang w:val="de-DE"/>
            </w:rPr>
          </w:pPr>
          <w:r w:rsidRPr="000C492C">
            <w:rPr>
              <w:lang w:val="de-DE"/>
            </w:rPr>
            <w:t xml:space="preserve">Zur Umsetzung der IED sind allerdings noch erhebliche Änderungen im </w:t>
          </w:r>
          <w:r w:rsidRPr="000C492C">
            <w:rPr>
              <w:b/>
              <w:bCs/>
              <w:lang w:val="de-DE"/>
            </w:rPr>
            <w:t>Wasserrecht</w:t>
          </w:r>
          <w:r w:rsidRPr="000C492C">
            <w:rPr>
              <w:lang w:val="de-DE"/>
            </w:rPr>
            <w:t xml:space="preserve"> erforderlich. Diese fehlen bisher im Gesetzespaket und sollten zeitnah vorgelegt werden. Ohne Kenntnis des kompletten Umsetzungspaketes ist eine Gesamtbewertung der IED-Umsetzung nicht möglich. </w:t>
          </w:r>
          <w:r w:rsidR="00DD0F96" w:rsidRPr="00DD0F96">
            <w:rPr>
              <w:highlight w:val="cyan"/>
              <w:lang w:val="de-DE"/>
            </w:rPr>
            <w:t>Dieses Papier stellt daher nur eine vorläufige Bewertung dar.</w:t>
          </w:r>
        </w:p>
        <w:p w14:paraId="46A7AE12" w14:textId="77777777" w:rsidR="004E1BF2" w:rsidRDefault="004E1BF2" w:rsidP="00026020">
          <w:pPr>
            <w:spacing w:after="200"/>
            <w:rPr>
              <w:lang w:val="de-DE"/>
            </w:rPr>
          </w:pPr>
        </w:p>
        <w:p w14:paraId="338CEC45" w14:textId="03C2175B" w:rsidR="00E9701E" w:rsidRPr="004E1BF2" w:rsidRDefault="00E9701E" w:rsidP="00026020">
          <w:pPr>
            <w:spacing w:after="200"/>
            <w:rPr>
              <w:b/>
              <w:bCs/>
              <w:u w:val="single"/>
              <w:lang w:val="de-DE"/>
            </w:rPr>
          </w:pPr>
          <w:r w:rsidRPr="004E1BF2">
            <w:rPr>
              <w:b/>
              <w:bCs/>
              <w:highlight w:val="cyan"/>
              <w:u w:val="single"/>
              <w:lang w:val="de-DE"/>
            </w:rPr>
            <w:t>Bewertung des Umsetzu</w:t>
          </w:r>
          <w:r w:rsidR="004E1BF2" w:rsidRPr="004E1BF2">
            <w:rPr>
              <w:b/>
              <w:bCs/>
              <w:highlight w:val="cyan"/>
              <w:u w:val="single"/>
              <w:lang w:val="de-DE"/>
            </w:rPr>
            <w:t>ngsentwurfes:</w:t>
          </w:r>
        </w:p>
        <w:p w14:paraId="7406BDA1" w14:textId="3EC6D8CC" w:rsidR="005A23A5" w:rsidRPr="007C597F" w:rsidRDefault="003A3E97" w:rsidP="007C597F">
          <w:pPr>
            <w:spacing w:after="200"/>
            <w:rPr>
              <w:b/>
              <w:bCs/>
              <w:lang w:val="de-DE"/>
            </w:rPr>
          </w:pPr>
          <w:r w:rsidRPr="00AC41EE">
            <w:rPr>
              <w:b/>
              <w:bCs/>
              <w:lang w:val="de-DE"/>
            </w:rPr>
            <w:t xml:space="preserve">Der Entwurf geht in vielen Teilen über eine 1:1-Umsetzung der EU-Richtlinie über Industrieemissionen hinaus, führt zu neuer Bürokratie sowie zusätzlichen Kosten für die Betreiber. Aus Sicht des BDI bedarf der Entwurf daher einer deutlichen Überarbeitung. </w:t>
          </w:r>
        </w:p>
        <w:p w14:paraId="27555DCC" w14:textId="77777777" w:rsidR="00820246" w:rsidRDefault="00820246" w:rsidP="00BB13B6">
          <w:pPr>
            <w:spacing w:line="240" w:lineRule="auto"/>
            <w:rPr>
              <w:b/>
              <w:bCs/>
              <w:u w:val="single"/>
              <w:lang w:val="de-DE"/>
            </w:rPr>
          </w:pPr>
          <w:r w:rsidRPr="004834ED">
            <w:rPr>
              <w:b/>
              <w:bCs/>
              <w:highlight w:val="cyan"/>
              <w:u w:val="single"/>
              <w:lang w:val="de-DE"/>
            </w:rPr>
            <w:t>Hauptforderungen:</w:t>
          </w:r>
        </w:p>
        <w:p w14:paraId="52200A61" w14:textId="4BE18FC5" w:rsidR="00BB13B6" w:rsidRPr="00BF3CB1" w:rsidRDefault="00BB13B6" w:rsidP="00BB13B6">
          <w:pPr>
            <w:spacing w:line="240" w:lineRule="auto"/>
            <w:rPr>
              <w:lang w:val="de-DE"/>
            </w:rPr>
          </w:pPr>
          <w:r>
            <w:rPr>
              <w:lang w:val="de-DE"/>
            </w:rPr>
            <w:t xml:space="preserve">Die wichtigsten </w:t>
          </w:r>
          <w:r w:rsidRPr="00BF3CB1">
            <w:rPr>
              <w:lang w:val="de-DE"/>
            </w:rPr>
            <w:t>Forderungen des BDI in diesem Zusammenhang sind:</w:t>
          </w:r>
        </w:p>
        <w:p w14:paraId="323AFB0A" w14:textId="77777777" w:rsidR="00BB13B6" w:rsidRPr="00251204" w:rsidRDefault="00BB13B6" w:rsidP="00F03B6F">
          <w:pPr>
            <w:pStyle w:val="Listenabsatz"/>
            <w:numPr>
              <w:ilvl w:val="0"/>
              <w:numId w:val="12"/>
            </w:numPr>
            <w:spacing w:after="200"/>
            <w:rPr>
              <w:lang w:val="de-DE"/>
            </w:rPr>
          </w:pPr>
          <w:r w:rsidRPr="00251204">
            <w:rPr>
              <w:b/>
              <w:bCs/>
              <w:lang w:val="de-DE"/>
            </w:rPr>
            <w:t>Schlanke und unbürokratische Umsetzung</w:t>
          </w:r>
          <w:r>
            <w:rPr>
              <w:b/>
              <w:bCs/>
              <w:lang w:val="de-DE"/>
            </w:rPr>
            <w:t>: 1:1-Umsetzung</w:t>
          </w:r>
        </w:p>
        <w:p w14:paraId="1BBD7345" w14:textId="761ACAFB" w:rsidR="00BB13B6" w:rsidRPr="002A7BC8" w:rsidRDefault="00BB13B6" w:rsidP="00BB13B6">
          <w:pPr>
            <w:pStyle w:val="Listenabsatz"/>
            <w:numPr>
              <w:ilvl w:val="0"/>
              <w:numId w:val="0"/>
            </w:numPr>
            <w:spacing w:after="200"/>
            <w:ind w:left="720"/>
            <w:rPr>
              <w:lang w:val="de-DE"/>
            </w:rPr>
          </w:pPr>
          <w:r w:rsidRPr="002A7BC8">
            <w:rPr>
              <w:lang w:val="de-DE"/>
            </w:rPr>
            <w:t xml:space="preserve">Bei der Umsetzung der IED in deutsches Recht sollte alles dafür getan werden, die Umsetzung möglichst schlank (1:1-Umsetzung) und unbürokratisch vorzunehmen. Bei der Umsetzung müssen alle europarechtlich möglichen Spielräume genutzt werden, um die Genehmigungsverfahren in Deutschland nicht noch weiter zu verlangsamen, sondern zu beschleunigen. </w:t>
          </w:r>
          <w:r w:rsidR="00D908BF">
            <w:rPr>
              <w:lang w:val="de-DE"/>
            </w:rPr>
            <w:t>(vgl. Vorschläge zum BImSchG)</w:t>
          </w:r>
        </w:p>
        <w:p w14:paraId="4DFBE03A" w14:textId="77777777" w:rsidR="00BB13B6" w:rsidRPr="00251204" w:rsidRDefault="00BB13B6" w:rsidP="00F03B6F">
          <w:pPr>
            <w:pStyle w:val="Listenabsatz"/>
            <w:numPr>
              <w:ilvl w:val="0"/>
              <w:numId w:val="12"/>
            </w:numPr>
            <w:spacing w:after="200"/>
            <w:rPr>
              <w:b/>
              <w:bCs/>
              <w:lang w:val="de-DE"/>
            </w:rPr>
          </w:pPr>
          <w:r w:rsidRPr="00251204">
            <w:rPr>
              <w:b/>
              <w:bCs/>
              <w:lang w:val="de-DE"/>
            </w:rPr>
            <w:t xml:space="preserve">Weitere Vorschläge zur Entbürokratisierung und Verfahrensbeschleunigung </w:t>
          </w:r>
          <w:r>
            <w:rPr>
              <w:b/>
              <w:bCs/>
              <w:lang w:val="de-DE"/>
            </w:rPr>
            <w:br/>
          </w:r>
          <w:r w:rsidRPr="00251204">
            <w:rPr>
              <w:b/>
              <w:bCs/>
              <w:lang w:val="de-DE"/>
            </w:rPr>
            <w:t>erforderlich</w:t>
          </w:r>
        </w:p>
        <w:p w14:paraId="52D5F9D2" w14:textId="0E870D57" w:rsidR="00BB13B6" w:rsidRPr="002A7BC8" w:rsidRDefault="00BB13B6" w:rsidP="00BB13B6">
          <w:pPr>
            <w:pStyle w:val="Listenabsatz"/>
            <w:numPr>
              <w:ilvl w:val="0"/>
              <w:numId w:val="0"/>
            </w:numPr>
            <w:spacing w:after="200"/>
            <w:ind w:left="720"/>
            <w:rPr>
              <w:b/>
              <w:bCs/>
              <w:lang w:val="de-DE"/>
            </w:rPr>
          </w:pPr>
          <w:r w:rsidRPr="002A7BC8">
            <w:rPr>
              <w:lang w:val="de-DE"/>
            </w:rPr>
            <w:t xml:space="preserve">Zusätzlich sollte jeglicher durch die IED bedingter zusätzlicher bürokratischer Aufwand für die Genehmigungsbehörden und die Anlagenbetreiber gleichzeitig durch Entlastungsmaßnahmen an anderer Stelle ausgeglichen werden. Die deutsche Industrie bittet Bund und Länder daher dringend darum, dass parallel zur IED-Umsetzung auch Vorschläge zur weiteren Entbürokratisierung und Beschleunigung von Planungs- und Genehmigungsverfahren vorgelegt, beschlossen und zügig umgesetzt werden. (vgl. z. B. Vorschläge </w:t>
          </w:r>
          <w:r w:rsidR="00D908BF">
            <w:rPr>
              <w:lang w:val="de-DE"/>
            </w:rPr>
            <w:t>im</w:t>
          </w:r>
          <w:r w:rsidRPr="002A7BC8">
            <w:rPr>
              <w:lang w:val="de-DE"/>
            </w:rPr>
            <w:t xml:space="preserve"> BImSch</w:t>
          </w:r>
          <w:r w:rsidR="00D908BF">
            <w:rPr>
              <w:lang w:val="de-DE"/>
            </w:rPr>
            <w:t>G</w:t>
          </w:r>
          <w:r w:rsidRPr="002A7BC8">
            <w:rPr>
              <w:lang w:val="de-DE"/>
            </w:rPr>
            <w:t xml:space="preserve">) </w:t>
          </w:r>
        </w:p>
        <w:p w14:paraId="02613B3C" w14:textId="0593CF86" w:rsidR="00B34D4D" w:rsidRPr="005358FD" w:rsidRDefault="00B34D4D" w:rsidP="005358FD">
          <w:pPr>
            <w:pStyle w:val="Listenabsatz"/>
            <w:numPr>
              <w:ilvl w:val="0"/>
              <w:numId w:val="12"/>
            </w:numPr>
            <w:spacing w:line="240" w:lineRule="auto"/>
            <w:rPr>
              <w:b/>
              <w:bCs/>
              <w:lang w:val="de-DE"/>
            </w:rPr>
          </w:pPr>
          <w:r w:rsidRPr="005358FD">
            <w:rPr>
              <w:b/>
              <w:bCs/>
              <w:lang w:val="de-DE"/>
            </w:rPr>
            <w:t>Alle Ausnahmetatbestände in deutsches Recht umsetzen</w:t>
          </w:r>
        </w:p>
        <w:p w14:paraId="18328C46" w14:textId="399B2F4C" w:rsidR="007A2EDA" w:rsidRDefault="00B34D4D" w:rsidP="000473D3">
          <w:pPr>
            <w:ind w:left="709" w:firstLine="11"/>
            <w:rPr>
              <w:lang w:val="de-DE"/>
            </w:rPr>
          </w:pPr>
          <w:r w:rsidRPr="00744D0B">
            <w:rPr>
              <w:lang w:val="de-DE"/>
            </w:rPr>
            <w:t xml:space="preserve">Die Ausnahmetatbestände </w:t>
          </w:r>
          <w:r w:rsidR="00744D0B">
            <w:rPr>
              <w:lang w:val="de-DE"/>
            </w:rPr>
            <w:t xml:space="preserve">der </w:t>
          </w:r>
          <w:r w:rsidRPr="00744D0B">
            <w:rPr>
              <w:lang w:val="de-DE"/>
            </w:rPr>
            <w:t>IED</w:t>
          </w:r>
          <w:r w:rsidR="00744D0B">
            <w:rPr>
              <w:lang w:val="de-DE"/>
            </w:rPr>
            <w:t xml:space="preserve">- Richtlinie </w:t>
          </w:r>
          <w:r w:rsidRPr="00744D0B">
            <w:rPr>
              <w:lang w:val="de-DE"/>
            </w:rPr>
            <w:t xml:space="preserve">sollten vollständig in deutsches Recht umgesetzt werden. </w:t>
          </w:r>
          <w:r w:rsidR="00744D0B">
            <w:rPr>
              <w:lang w:val="de-DE"/>
            </w:rPr>
            <w:t>Dies gilt insbesondere auch für das Wasserrecht.</w:t>
          </w:r>
          <w:r w:rsidR="007A2EDA">
            <w:rPr>
              <w:lang w:val="de-DE"/>
            </w:rPr>
            <w:t xml:space="preserve"> </w:t>
          </w:r>
          <w:r w:rsidR="00DF5363">
            <w:rPr>
              <w:lang w:val="de-DE"/>
            </w:rPr>
            <w:t>Bisher fehlen im Ausnahmekatalog die</w:t>
          </w:r>
          <w:r w:rsidR="009319ED" w:rsidRPr="009319ED">
            <w:rPr>
              <w:lang w:val="de-DE"/>
            </w:rPr>
            <w:t xml:space="preserve"> Aufnahme des geografischen Standorts und der lokalen Umweltbedingungen</w:t>
          </w:r>
          <w:r w:rsidR="00DF5363">
            <w:rPr>
              <w:lang w:val="de-DE"/>
            </w:rPr>
            <w:t xml:space="preserve"> sowie die Ausnahme zum Krisenfall. Das a</w:t>
          </w:r>
          <w:r w:rsidR="009319ED" w:rsidRPr="009319ED">
            <w:rPr>
              <w:lang w:val="de-DE"/>
            </w:rPr>
            <w:t xml:space="preserve">ufwändige europarechtliche Ausnahmeverfahren darf </w:t>
          </w:r>
          <w:r w:rsidR="00334E72">
            <w:rPr>
              <w:lang w:val="de-DE"/>
            </w:rPr>
            <w:t xml:space="preserve">nur </w:t>
          </w:r>
          <w:r w:rsidR="009319ED" w:rsidRPr="00832704">
            <w:rPr>
              <w:strike/>
              <w:highlight w:val="cyan"/>
              <w:lang w:val="de-DE"/>
            </w:rPr>
            <w:t>nicht</w:t>
          </w:r>
          <w:r w:rsidR="009319ED" w:rsidRPr="00832704">
            <w:rPr>
              <w:strike/>
              <w:lang w:val="de-DE"/>
            </w:rPr>
            <w:t xml:space="preserve"> </w:t>
          </w:r>
          <w:r w:rsidR="009319ED" w:rsidRPr="009319ED">
            <w:rPr>
              <w:lang w:val="de-DE"/>
            </w:rPr>
            <w:t xml:space="preserve">für </w:t>
          </w:r>
          <w:r w:rsidR="00832704">
            <w:rPr>
              <w:lang w:val="de-DE"/>
            </w:rPr>
            <w:t xml:space="preserve">die </w:t>
          </w:r>
          <w:r w:rsidR="009319ED" w:rsidRPr="009319ED">
            <w:rPr>
              <w:lang w:val="de-DE"/>
            </w:rPr>
            <w:t xml:space="preserve">Festlegung von Grenzwerten </w:t>
          </w:r>
          <w:r w:rsidR="000473D3" w:rsidRPr="00832704">
            <w:rPr>
              <w:lang w:val="de-DE"/>
            </w:rPr>
            <w:t>außerhalb</w:t>
          </w:r>
          <w:r w:rsidR="008403FF">
            <w:rPr>
              <w:lang w:val="de-DE"/>
            </w:rPr>
            <w:t xml:space="preserve"> </w:t>
          </w:r>
          <w:r w:rsidR="009319ED" w:rsidRPr="009319ED">
            <w:rPr>
              <w:lang w:val="de-DE"/>
            </w:rPr>
            <w:t>europäischer Bandbreiten gelten</w:t>
          </w:r>
          <w:r w:rsidR="000473D3">
            <w:rPr>
              <w:lang w:val="de-DE"/>
            </w:rPr>
            <w:t>.</w:t>
          </w:r>
          <w:r w:rsidR="000473D3">
            <w:rPr>
              <w:lang w:val="de-DE"/>
            </w:rPr>
            <w:br/>
          </w:r>
          <w:r w:rsidR="007A2EDA">
            <w:rPr>
              <w:lang w:val="de-DE"/>
            </w:rPr>
            <w:t>(vgl. Vorschläge zum BImSchG und KrWG)</w:t>
          </w:r>
          <w:r w:rsidR="00744D0B">
            <w:rPr>
              <w:lang w:val="de-DE"/>
            </w:rPr>
            <w:t xml:space="preserve"> </w:t>
          </w:r>
          <w:bookmarkStart w:id="4" w:name="_Toc496532218"/>
          <w:bookmarkEnd w:id="2"/>
        </w:p>
        <w:p w14:paraId="3F4F383C" w14:textId="77777777" w:rsidR="008170ED" w:rsidRDefault="008170ED" w:rsidP="008170ED">
          <w:pPr>
            <w:pStyle w:val="Listenabsatz"/>
            <w:numPr>
              <w:ilvl w:val="0"/>
              <w:numId w:val="0"/>
            </w:numPr>
            <w:ind w:left="720"/>
            <w:rPr>
              <w:highlight w:val="green"/>
              <w:lang w:val="de-DE"/>
            </w:rPr>
          </w:pPr>
        </w:p>
        <w:p w14:paraId="22A78CDE" w14:textId="7F535EB6" w:rsidR="00DC179E" w:rsidRPr="00533896" w:rsidRDefault="00DC179E" w:rsidP="00DC179E">
          <w:pPr>
            <w:pStyle w:val="Listenabsatz"/>
            <w:numPr>
              <w:ilvl w:val="0"/>
              <w:numId w:val="12"/>
            </w:numPr>
            <w:rPr>
              <w:b/>
              <w:bCs/>
              <w:highlight w:val="cyan"/>
              <w:lang w:val="de-DE"/>
            </w:rPr>
          </w:pPr>
          <w:r w:rsidRPr="00533896">
            <w:rPr>
              <w:b/>
              <w:bCs/>
              <w:highlight w:val="cyan"/>
              <w:lang w:val="de-DE"/>
            </w:rPr>
            <w:lastRenderedPageBreak/>
            <w:t xml:space="preserve">Keine unmittelbare Anwendung von BVT-Schlussfolgerungen auf bestehende Anlagen </w:t>
          </w:r>
        </w:p>
        <w:p w14:paraId="03333A50" w14:textId="6E0EFB02" w:rsidR="00B36D9F" w:rsidRPr="00B36D9F" w:rsidRDefault="004D7243" w:rsidP="00533896">
          <w:pPr>
            <w:pStyle w:val="Listenabsatz"/>
            <w:numPr>
              <w:ilvl w:val="0"/>
              <w:numId w:val="0"/>
            </w:numPr>
            <w:ind w:left="720"/>
            <w:rPr>
              <w:lang w:val="de-DE"/>
            </w:rPr>
          </w:pPr>
          <w:r w:rsidRPr="00533896">
            <w:rPr>
              <w:highlight w:val="cyan"/>
              <w:lang w:val="de-DE"/>
            </w:rPr>
            <w:t xml:space="preserve">Es muss klargestellt werden, dass BVT-Schlussfolgerungen für bestehende Anlagen nicht unmittelbar gelten. </w:t>
          </w:r>
          <w:r w:rsidR="00E85D51" w:rsidRPr="00533896">
            <w:rPr>
              <w:highlight w:val="cyan"/>
              <w:lang w:val="de-DE"/>
            </w:rPr>
            <w:t xml:space="preserve">Die europäischen Vorgaben sollten umgesetzt werden, so dass BVT-Schlussfolgerungen </w:t>
          </w:r>
          <w:r w:rsidR="00DC179E" w:rsidRPr="00533896">
            <w:rPr>
              <w:highlight w:val="cyan"/>
              <w:lang w:val="de-DE"/>
            </w:rPr>
            <w:t xml:space="preserve">für bestehende Anlagen erst </w:t>
          </w:r>
          <w:r w:rsidR="00B36D9F" w:rsidRPr="00533896">
            <w:rPr>
              <w:highlight w:val="cyan"/>
              <w:lang w:val="de-DE"/>
            </w:rPr>
            <w:t xml:space="preserve">innerhalb von vier Jahren nach Veröffentlichung von BVT-Schlussfolgerungen </w:t>
          </w:r>
          <w:r w:rsidR="00DC179E" w:rsidRPr="00533896">
            <w:rPr>
              <w:highlight w:val="cyan"/>
              <w:lang w:val="de-DE"/>
            </w:rPr>
            <w:t>gelten.</w:t>
          </w:r>
          <w:r w:rsidR="00B36D9F" w:rsidRPr="00533896">
            <w:rPr>
              <w:highlight w:val="cyan"/>
              <w:lang w:val="de-DE"/>
            </w:rPr>
            <w:t xml:space="preserve"> (§ 12 Abs. 1a BImSchG)</w:t>
          </w:r>
          <w:r w:rsidR="00B36D9F" w:rsidRPr="00B36D9F">
            <w:rPr>
              <w:lang w:val="de-DE"/>
            </w:rPr>
            <w:t xml:space="preserve"> </w:t>
          </w:r>
        </w:p>
        <w:p w14:paraId="46025F9C" w14:textId="55353525" w:rsidR="00AA7048" w:rsidRPr="00042015" w:rsidRDefault="00042015" w:rsidP="007A2EDA">
          <w:pPr>
            <w:pStyle w:val="Listenabsatz"/>
            <w:numPr>
              <w:ilvl w:val="0"/>
              <w:numId w:val="12"/>
            </w:numPr>
            <w:spacing w:line="240" w:lineRule="auto"/>
            <w:rPr>
              <w:b/>
              <w:bCs/>
              <w:lang w:val="de-DE"/>
            </w:rPr>
          </w:pPr>
          <w:r w:rsidRPr="00042015">
            <w:rPr>
              <w:b/>
              <w:bCs/>
              <w:lang w:val="de-DE"/>
            </w:rPr>
            <w:t xml:space="preserve">Keine Bürokratie schaffen durch Konsolidierung von </w:t>
          </w:r>
          <w:r w:rsidR="00AA7048" w:rsidRPr="00042015">
            <w:rPr>
              <w:b/>
              <w:bCs/>
              <w:lang w:val="de-DE"/>
            </w:rPr>
            <w:t xml:space="preserve">Nebenbestimmungen </w:t>
          </w:r>
          <w:r w:rsidR="00202EA6">
            <w:rPr>
              <w:b/>
              <w:bCs/>
              <w:lang w:val="de-DE"/>
            </w:rPr>
            <w:t xml:space="preserve"> </w:t>
          </w:r>
        </w:p>
        <w:p w14:paraId="31F6DC7C" w14:textId="6E7F5A32" w:rsidR="00202EA6" w:rsidRPr="00963368" w:rsidRDefault="00AA7048" w:rsidP="00963368">
          <w:pPr>
            <w:ind w:left="708" w:firstLine="12"/>
            <w:rPr>
              <w:lang w:val="de-DE"/>
            </w:rPr>
          </w:pPr>
          <w:r w:rsidRPr="00A813C8">
            <w:rPr>
              <w:lang w:val="de-DE"/>
            </w:rPr>
            <w:t>Es darf nicht zum Regelfall erklärt werden, dass bei der Internet-Veröffentlichung von Genehmigungsbescheiden die Nebenbestimmungen zur Genehmigung in einer konsolidierten Fassung beizufügen sind.</w:t>
          </w:r>
          <w:r>
            <w:rPr>
              <w:lang w:val="de-DE"/>
            </w:rPr>
            <w:t xml:space="preserve"> </w:t>
          </w:r>
          <w:r w:rsidRPr="00A813C8">
            <w:rPr>
              <w:lang w:val="de-DE"/>
            </w:rPr>
            <w:t xml:space="preserve">Der Vorschlag ist nicht praxistauglich, europarechtlich nicht erforderlich und führt zu erheblichem bürokratischem Aufwand bei den Genehmigungsbehörden und den Betreibern. </w:t>
          </w:r>
          <w:r w:rsidR="00202EA6">
            <w:rPr>
              <w:lang w:val="de-DE"/>
            </w:rPr>
            <w:t>(§ 10 Abs. 8a BImSchG)</w:t>
          </w:r>
        </w:p>
        <w:p w14:paraId="52CF8080" w14:textId="0612BAD7" w:rsidR="00820246" w:rsidRPr="001E0657" w:rsidRDefault="00820246" w:rsidP="00963368">
          <w:pPr>
            <w:spacing w:after="200"/>
            <w:rPr>
              <w:b/>
              <w:bCs/>
              <w:u w:val="single"/>
              <w:lang w:val="de-DE"/>
            </w:rPr>
          </w:pPr>
          <w:r w:rsidRPr="001E0657">
            <w:rPr>
              <w:b/>
              <w:bCs/>
              <w:u w:val="single"/>
              <w:lang w:val="de-DE"/>
            </w:rPr>
            <w:t xml:space="preserve">Sonstige </w:t>
          </w:r>
          <w:r w:rsidR="001E0657" w:rsidRPr="001E0657">
            <w:rPr>
              <w:b/>
              <w:bCs/>
              <w:u w:val="single"/>
              <w:lang w:val="de-DE"/>
            </w:rPr>
            <w:t xml:space="preserve">übergreifende </w:t>
          </w:r>
          <w:r w:rsidR="001E0657">
            <w:rPr>
              <w:b/>
              <w:bCs/>
              <w:u w:val="single"/>
              <w:lang w:val="de-DE"/>
            </w:rPr>
            <w:t>Punkte</w:t>
          </w:r>
          <w:r w:rsidR="001E0657" w:rsidRPr="001E0657">
            <w:rPr>
              <w:b/>
              <w:bCs/>
              <w:u w:val="single"/>
              <w:lang w:val="de-DE"/>
            </w:rPr>
            <w:t>:</w:t>
          </w:r>
        </w:p>
        <w:p w14:paraId="76B2B3F9" w14:textId="4EA204BD" w:rsidR="001E0657" w:rsidRPr="001E0657" w:rsidRDefault="00126075" w:rsidP="001E0657">
          <w:pPr>
            <w:pStyle w:val="Listenabsatz"/>
            <w:numPr>
              <w:ilvl w:val="0"/>
              <w:numId w:val="15"/>
            </w:numPr>
            <w:spacing w:after="200"/>
            <w:rPr>
              <w:lang w:val="de-DE"/>
            </w:rPr>
          </w:pPr>
          <w:r w:rsidRPr="001E0657">
            <w:rPr>
              <w:b/>
              <w:bCs/>
              <w:lang w:val="de-DE"/>
            </w:rPr>
            <w:t>LAI-Plus Arbeitskreis</w:t>
          </w:r>
          <w:r w:rsidR="00796E05">
            <w:rPr>
              <w:b/>
              <w:bCs/>
              <w:lang w:val="de-DE"/>
            </w:rPr>
            <w:t xml:space="preserve"> einrichten</w:t>
          </w:r>
        </w:p>
        <w:p w14:paraId="29CD2A2A" w14:textId="1BF08F35" w:rsidR="00217BBE" w:rsidRPr="001E0657" w:rsidRDefault="003C302C" w:rsidP="001E0657">
          <w:pPr>
            <w:pStyle w:val="Listenabsatz"/>
            <w:numPr>
              <w:ilvl w:val="0"/>
              <w:numId w:val="0"/>
            </w:numPr>
            <w:spacing w:after="200"/>
            <w:ind w:left="720"/>
            <w:rPr>
              <w:lang w:val="de-DE"/>
            </w:rPr>
          </w:pPr>
          <w:r w:rsidRPr="001E0657">
            <w:rPr>
              <w:lang w:val="de-DE"/>
            </w:rPr>
            <w:t xml:space="preserve">Im Rahmen der IED-Umsetzung werden sicherlich eine Reihe von Vollzugshilfen der Bund/Länder Arbeitsgemeinschaft für Immissionsschutz (LAI) erarbeitet werden. Die Industrie wird </w:t>
          </w:r>
          <w:r w:rsidR="00B5294E" w:rsidRPr="001E0657">
            <w:rPr>
              <w:lang w:val="de-DE"/>
            </w:rPr>
            <w:t xml:space="preserve">in die Arbeiten des LAI bisher nicht einbezogen. Die LAI-Vollzugshilfen sind jedoch für die </w:t>
          </w:r>
          <w:r w:rsidR="00126075" w:rsidRPr="001E0657">
            <w:rPr>
              <w:lang w:val="de-DE"/>
            </w:rPr>
            <w:t>B</w:t>
          </w:r>
          <w:r w:rsidR="00B5294E" w:rsidRPr="001E0657">
            <w:rPr>
              <w:lang w:val="de-DE"/>
            </w:rPr>
            <w:t>etreiber in der P</w:t>
          </w:r>
          <w:r w:rsidR="00126075" w:rsidRPr="001E0657">
            <w:rPr>
              <w:lang w:val="de-DE"/>
            </w:rPr>
            <w:t>r</w:t>
          </w:r>
          <w:r w:rsidR="00B5294E" w:rsidRPr="001E0657">
            <w:rPr>
              <w:lang w:val="de-DE"/>
            </w:rPr>
            <w:t>axis von erheblicher Bedeutung. U</w:t>
          </w:r>
          <w:r w:rsidRPr="001E0657">
            <w:rPr>
              <w:lang w:val="de-DE"/>
            </w:rPr>
            <w:t>nser Vorschlag</w:t>
          </w:r>
          <w:r w:rsidR="00B5294E" w:rsidRPr="001E0657">
            <w:rPr>
              <w:lang w:val="de-DE"/>
            </w:rPr>
            <w:t xml:space="preserve"> wäre es daher</w:t>
          </w:r>
          <w:r w:rsidRPr="001E0657">
            <w:rPr>
              <w:lang w:val="de-DE"/>
            </w:rPr>
            <w:t>, dass</w:t>
          </w:r>
          <w:r w:rsidR="00B5294E" w:rsidRPr="001E0657">
            <w:rPr>
              <w:lang w:val="de-DE"/>
            </w:rPr>
            <w:t xml:space="preserve"> ein </w:t>
          </w:r>
          <w:r w:rsidRPr="001E0657">
            <w:rPr>
              <w:lang w:val="de-DE"/>
            </w:rPr>
            <w:t>LAI</w:t>
          </w:r>
          <w:r w:rsidR="00B5294E" w:rsidRPr="001E0657">
            <w:rPr>
              <w:lang w:val="de-DE"/>
            </w:rPr>
            <w:t>-</w:t>
          </w:r>
          <w:r w:rsidRPr="001E0657">
            <w:rPr>
              <w:lang w:val="de-DE"/>
            </w:rPr>
            <w:t>Plus Arbeitskreis</w:t>
          </w:r>
          <w:r w:rsidR="00B5294E" w:rsidRPr="001E0657">
            <w:rPr>
              <w:lang w:val="de-DE"/>
            </w:rPr>
            <w:t xml:space="preserve"> gebildet wird, in dem die LAI-Vollzugshilfen </w:t>
          </w:r>
          <w:r w:rsidR="00126075" w:rsidRPr="001E0657">
            <w:rPr>
              <w:lang w:val="de-DE"/>
            </w:rPr>
            <w:t xml:space="preserve">gemeinsam mit der Industrie beraten werden. </w:t>
          </w:r>
          <w:r w:rsidR="00B5294E" w:rsidRPr="001E0657">
            <w:rPr>
              <w:lang w:val="de-DE"/>
            </w:rPr>
            <w:t xml:space="preserve"> </w:t>
          </w:r>
        </w:p>
        <w:p w14:paraId="3670E8FA" w14:textId="77777777" w:rsidR="001E0657" w:rsidRPr="001E0657" w:rsidRDefault="00963368" w:rsidP="001E0657">
          <w:pPr>
            <w:pStyle w:val="Listenabsatz"/>
            <w:numPr>
              <w:ilvl w:val="0"/>
              <w:numId w:val="15"/>
            </w:numPr>
            <w:spacing w:after="200"/>
            <w:rPr>
              <w:lang w:val="de-DE"/>
            </w:rPr>
          </w:pPr>
          <w:r w:rsidRPr="001E0657">
            <w:rPr>
              <w:b/>
              <w:bCs/>
              <w:highlight w:val="cyan"/>
              <w:lang w:val="de-DE"/>
            </w:rPr>
            <w:t>Überarbeitung der IED</w:t>
          </w:r>
        </w:p>
        <w:p w14:paraId="101C32CF" w14:textId="26808AA2" w:rsidR="0046099F" w:rsidRDefault="0046099F" w:rsidP="001E0657">
          <w:pPr>
            <w:pStyle w:val="Listenabsatz"/>
            <w:numPr>
              <w:ilvl w:val="0"/>
              <w:numId w:val="0"/>
            </w:numPr>
            <w:spacing w:after="200"/>
            <w:ind w:left="720"/>
            <w:rPr>
              <w:lang w:val="de-DE"/>
            </w:rPr>
          </w:pPr>
          <w:r w:rsidRPr="001E0657">
            <w:rPr>
              <w:highlight w:val="cyan"/>
              <w:lang w:val="de-DE"/>
            </w:rPr>
            <w:t xml:space="preserve">Der BDI setzt sich zudem dafür ein, dass </w:t>
          </w:r>
          <w:r w:rsidR="001E0657" w:rsidRPr="001E0657">
            <w:rPr>
              <w:highlight w:val="cyan"/>
              <w:lang w:val="de-DE"/>
            </w:rPr>
            <w:t xml:space="preserve">die EU-Kommission </w:t>
          </w:r>
          <w:r w:rsidRPr="001E0657">
            <w:rPr>
              <w:highlight w:val="cyan"/>
              <w:lang w:val="de-DE"/>
            </w:rPr>
            <w:t>in dieser Legislaturperiode eine Überarbeitung der IED vorlegt, um die schlimmsten bürokratischen Auswüchse der letzten Novelle wieder abzuschaffen</w:t>
          </w:r>
          <w:r w:rsidR="009D7AE0">
            <w:rPr>
              <w:highlight w:val="cyan"/>
              <w:lang w:val="de-DE"/>
            </w:rPr>
            <w:t xml:space="preserve"> (z. B. </w:t>
          </w:r>
          <w:r w:rsidR="009F28EA">
            <w:rPr>
              <w:highlight w:val="cyan"/>
              <w:lang w:val="de-DE"/>
            </w:rPr>
            <w:t>Umweltmanagementsystem, Chemikalieninventar, Transformationsplan</w:t>
          </w:r>
          <w:r w:rsidR="00DD0291">
            <w:rPr>
              <w:highlight w:val="cyan"/>
              <w:lang w:val="de-DE"/>
            </w:rPr>
            <w:t>, Berichtspflichten)</w:t>
          </w:r>
          <w:r w:rsidRPr="001E0657">
            <w:rPr>
              <w:highlight w:val="cyan"/>
              <w:lang w:val="de-DE"/>
            </w:rPr>
            <w:t>.</w:t>
          </w:r>
        </w:p>
        <w:p w14:paraId="0F8AC7BE" w14:textId="540AD7BD" w:rsidR="00225D8E" w:rsidRPr="00796E05" w:rsidRDefault="00225D8E" w:rsidP="00225D8E">
          <w:pPr>
            <w:pStyle w:val="Listenabsatz"/>
            <w:numPr>
              <w:ilvl w:val="0"/>
              <w:numId w:val="15"/>
            </w:numPr>
            <w:spacing w:after="200"/>
            <w:rPr>
              <w:b/>
              <w:bCs/>
              <w:lang w:val="de-DE"/>
            </w:rPr>
          </w:pPr>
          <w:r w:rsidRPr="00796E05">
            <w:rPr>
              <w:b/>
              <w:bCs/>
              <w:lang w:val="de-DE"/>
            </w:rPr>
            <w:t xml:space="preserve">Beteiligung der Industrie bei </w:t>
          </w:r>
          <w:r w:rsidR="009C1E86">
            <w:rPr>
              <w:b/>
              <w:bCs/>
              <w:lang w:val="de-DE"/>
            </w:rPr>
            <w:t>Durchführungsrechtsakten</w:t>
          </w:r>
          <w:r w:rsidRPr="00796E05">
            <w:rPr>
              <w:b/>
              <w:bCs/>
              <w:lang w:val="de-DE"/>
            </w:rPr>
            <w:t xml:space="preserve"> sicherstellen</w:t>
          </w:r>
        </w:p>
        <w:p w14:paraId="674C6436" w14:textId="7D340CDC" w:rsidR="00225D8E" w:rsidRDefault="004F2DFB" w:rsidP="00225D8E">
          <w:pPr>
            <w:pStyle w:val="Listenabsatz"/>
            <w:numPr>
              <w:ilvl w:val="0"/>
              <w:numId w:val="0"/>
            </w:numPr>
            <w:spacing w:after="200"/>
            <w:ind w:left="720"/>
            <w:rPr>
              <w:lang w:val="de-DE"/>
            </w:rPr>
          </w:pPr>
          <w:r w:rsidRPr="00796E05">
            <w:rPr>
              <w:highlight w:val="cyan"/>
              <w:lang w:val="de-DE"/>
            </w:rPr>
            <w:t xml:space="preserve">In der IED sind eine Reihe von </w:t>
          </w:r>
          <w:proofErr w:type="spellStart"/>
          <w:r w:rsidRPr="00796E05">
            <w:rPr>
              <w:highlight w:val="cyan"/>
              <w:lang w:val="de-DE"/>
            </w:rPr>
            <w:t>delegated</w:t>
          </w:r>
          <w:proofErr w:type="spellEnd"/>
          <w:r w:rsidRPr="00796E05">
            <w:rPr>
              <w:highlight w:val="cyan"/>
              <w:lang w:val="de-DE"/>
            </w:rPr>
            <w:t xml:space="preserve"> und </w:t>
          </w:r>
          <w:proofErr w:type="spellStart"/>
          <w:r w:rsidRPr="00796E05">
            <w:rPr>
              <w:highlight w:val="cyan"/>
              <w:lang w:val="de-DE"/>
            </w:rPr>
            <w:t>implementing</w:t>
          </w:r>
          <w:proofErr w:type="spellEnd"/>
          <w:r w:rsidRPr="00796E05">
            <w:rPr>
              <w:highlight w:val="cyan"/>
              <w:lang w:val="de-DE"/>
            </w:rPr>
            <w:t xml:space="preserve"> </w:t>
          </w:r>
          <w:proofErr w:type="spellStart"/>
          <w:r w:rsidRPr="00796E05">
            <w:rPr>
              <w:highlight w:val="cyan"/>
              <w:lang w:val="de-DE"/>
            </w:rPr>
            <w:t>acts</w:t>
          </w:r>
          <w:proofErr w:type="spellEnd"/>
          <w:r w:rsidRPr="00796E05">
            <w:rPr>
              <w:highlight w:val="cyan"/>
              <w:lang w:val="de-DE"/>
            </w:rPr>
            <w:t xml:space="preserve"> angekündigt</w:t>
          </w:r>
          <w:r w:rsidR="00B9657C" w:rsidRPr="00796E05">
            <w:rPr>
              <w:highlight w:val="cyan"/>
              <w:lang w:val="de-DE"/>
            </w:rPr>
            <w:t xml:space="preserve">, in denen </w:t>
          </w:r>
          <w:r w:rsidR="00796E05" w:rsidRPr="00796E05">
            <w:rPr>
              <w:highlight w:val="cyan"/>
              <w:lang w:val="de-DE"/>
            </w:rPr>
            <w:t xml:space="preserve">weitere </w:t>
          </w:r>
          <w:r w:rsidR="00B9657C" w:rsidRPr="00796E05">
            <w:rPr>
              <w:highlight w:val="cyan"/>
              <w:lang w:val="de-DE"/>
            </w:rPr>
            <w:t xml:space="preserve">Details zur </w:t>
          </w:r>
          <w:r w:rsidR="00796E05" w:rsidRPr="00796E05">
            <w:rPr>
              <w:highlight w:val="cyan"/>
              <w:lang w:val="de-DE"/>
            </w:rPr>
            <w:t>IED</w:t>
          </w:r>
          <w:r w:rsidRPr="00796E05">
            <w:rPr>
              <w:highlight w:val="cyan"/>
              <w:lang w:val="de-DE"/>
            </w:rPr>
            <w:t xml:space="preserve"> </w:t>
          </w:r>
          <w:r w:rsidR="00796E05" w:rsidRPr="00796E05">
            <w:rPr>
              <w:highlight w:val="cyan"/>
              <w:lang w:val="de-DE"/>
            </w:rPr>
            <w:t xml:space="preserve">festgelegt werden. </w:t>
          </w:r>
          <w:r w:rsidR="001E6AC2" w:rsidRPr="00796E05">
            <w:rPr>
              <w:highlight w:val="cyan"/>
              <w:lang w:val="de-DE"/>
            </w:rPr>
            <w:t xml:space="preserve">Aus Sicht des BDI sollte sich die Bundesregierung </w:t>
          </w:r>
          <w:r w:rsidR="00B9657C" w:rsidRPr="00796E05">
            <w:rPr>
              <w:highlight w:val="cyan"/>
              <w:lang w:val="de-DE"/>
            </w:rPr>
            <w:t xml:space="preserve">intensiv in die Diskussionen zu diesen </w:t>
          </w:r>
          <w:proofErr w:type="spellStart"/>
          <w:r w:rsidR="00B9657C" w:rsidRPr="00796E05">
            <w:rPr>
              <w:highlight w:val="cyan"/>
              <w:lang w:val="de-DE"/>
            </w:rPr>
            <w:t>acts</w:t>
          </w:r>
          <w:proofErr w:type="spellEnd"/>
          <w:r w:rsidR="00B9657C" w:rsidRPr="00796E05">
            <w:rPr>
              <w:highlight w:val="cyan"/>
              <w:lang w:val="de-DE"/>
            </w:rPr>
            <w:t xml:space="preserve"> auf europäischer Ebene einbringen. Die Industrie sollte bei Erstellung der deutschen Position einbezogen werden.</w:t>
          </w:r>
        </w:p>
        <w:p w14:paraId="09D61D34" w14:textId="6E5360D5" w:rsidR="00A32437" w:rsidRPr="00880323" w:rsidRDefault="00A32437" w:rsidP="00880323">
          <w:pPr>
            <w:pStyle w:val="Listenabsatz"/>
            <w:numPr>
              <w:ilvl w:val="0"/>
              <w:numId w:val="15"/>
            </w:numPr>
            <w:spacing w:after="200"/>
            <w:rPr>
              <w:b/>
              <w:bCs/>
              <w:lang w:val="de-DE"/>
            </w:rPr>
          </w:pPr>
          <w:r w:rsidRPr="007C3217">
            <w:rPr>
              <w:b/>
              <w:bCs/>
              <w:lang w:val="de-DE"/>
            </w:rPr>
            <w:t xml:space="preserve">Frühzeitige Einbindung der Industrie bei </w:t>
          </w:r>
          <w:r w:rsidR="00851D34">
            <w:rPr>
              <w:b/>
              <w:bCs/>
              <w:lang w:val="de-DE"/>
            </w:rPr>
            <w:t xml:space="preserve">der </w:t>
          </w:r>
          <w:r w:rsidRPr="007C3217">
            <w:rPr>
              <w:b/>
              <w:bCs/>
              <w:lang w:val="de-DE"/>
            </w:rPr>
            <w:t>BVT-Umsetzung</w:t>
          </w:r>
        </w:p>
        <w:p w14:paraId="6FF4B673" w14:textId="77777777" w:rsidR="00D83A06" w:rsidRDefault="00A32437" w:rsidP="00D83A06">
          <w:pPr>
            <w:ind w:left="708"/>
            <w:rPr>
              <w:lang w:val="de-DE"/>
            </w:rPr>
          </w:pPr>
          <w:r w:rsidRPr="00851D34">
            <w:rPr>
              <w:highlight w:val="cyan"/>
              <w:lang w:val="de-DE"/>
            </w:rPr>
            <w:t xml:space="preserve">Während der </w:t>
          </w:r>
          <w:r w:rsidR="00B74DB6" w:rsidRPr="00851D34">
            <w:rPr>
              <w:highlight w:val="cyan"/>
              <w:lang w:val="de-DE"/>
            </w:rPr>
            <w:t xml:space="preserve">Umsetzung von BVT-Schlussfolgerungen </w:t>
          </w:r>
          <w:r w:rsidR="007912AD" w:rsidRPr="00851D34">
            <w:rPr>
              <w:highlight w:val="cyan"/>
              <w:lang w:val="de-DE"/>
            </w:rPr>
            <w:t xml:space="preserve">durch </w:t>
          </w:r>
          <w:r w:rsidRPr="00851D34">
            <w:rPr>
              <w:highlight w:val="cyan"/>
              <w:lang w:val="de-DE"/>
            </w:rPr>
            <w:t>„allgemein bindende Vorschriften“ ist eine enge und frühzeitige Einbeziehung der betroffenen Branchen sinnvoll. Schon im Vorfeld eines formellen Beteiligungsprozesses</w:t>
          </w:r>
          <w:r w:rsidR="00554F22" w:rsidRPr="00851D34">
            <w:rPr>
              <w:highlight w:val="cyan"/>
              <w:lang w:val="de-DE"/>
            </w:rPr>
            <w:t xml:space="preserve"> </w:t>
          </w:r>
          <w:r w:rsidRPr="00851D34">
            <w:rPr>
              <w:highlight w:val="cyan"/>
              <w:lang w:val="de-DE"/>
            </w:rPr>
            <w:t>sollten die betroffenen Branchen vom Umweltbundesamt/Umweltministerium angehört und ihre Expertise eingeholt werden. So kann gewährleistet werden, dass die Umsetzung zügig erfolgen kann.</w:t>
          </w:r>
          <w:r w:rsidRPr="00BF3CB1">
            <w:rPr>
              <w:lang w:val="de-DE"/>
            </w:rPr>
            <w:t xml:space="preserve"> </w:t>
          </w:r>
        </w:p>
        <w:p w14:paraId="221F4AF4" w14:textId="3A0841C5" w:rsidR="00D83A06" w:rsidRPr="00540621" w:rsidRDefault="00D83A06" w:rsidP="00D83A06">
          <w:pPr>
            <w:pStyle w:val="Listenabsatz"/>
            <w:numPr>
              <w:ilvl w:val="0"/>
              <w:numId w:val="15"/>
            </w:numPr>
            <w:rPr>
              <w:b/>
              <w:bCs/>
              <w:highlight w:val="cyan"/>
              <w:lang w:val="de-DE"/>
            </w:rPr>
          </w:pPr>
          <w:r w:rsidRPr="00540621">
            <w:rPr>
              <w:b/>
              <w:bCs/>
              <w:highlight w:val="cyan"/>
              <w:lang w:val="de-DE"/>
            </w:rPr>
            <w:t>Erfüllungsaufwand</w:t>
          </w:r>
        </w:p>
        <w:p w14:paraId="258B2525" w14:textId="49534EF7" w:rsidR="00D83A06" w:rsidRPr="00540621" w:rsidRDefault="00D83A06" w:rsidP="00D83A06">
          <w:pPr>
            <w:ind w:left="708"/>
            <w:rPr>
              <w:highlight w:val="cyan"/>
              <w:lang w:val="de-DE"/>
            </w:rPr>
          </w:pPr>
          <w:r w:rsidRPr="00540621">
            <w:rPr>
              <w:highlight w:val="cyan"/>
              <w:lang w:val="de-DE"/>
            </w:rPr>
            <w:t xml:space="preserve">Der Referentenentwurf gibt für die Wirtschaft einen sehr geringen jährlichen Erfüllungsaufwand von nur 27 Tsd. Euro an. Dies erscheint in Anbetracht der erheblichen bürokratischen </w:t>
          </w:r>
          <w:r w:rsidRPr="00540621">
            <w:rPr>
              <w:highlight w:val="cyan"/>
              <w:lang w:val="de-DE"/>
            </w:rPr>
            <w:lastRenderedPageBreak/>
            <w:t>Folgelasten, die den Betreibern von IED-Anlagen durch die Umsetzung der IED in deutsches Recht entstehen, unrealistisch. Auch die Aussage, dass es sich um eine 1:1 Umsetzung des EU-Rechts handelt</w:t>
          </w:r>
          <w:r w:rsidR="000152C1" w:rsidRPr="00540621">
            <w:rPr>
              <w:highlight w:val="cyan"/>
              <w:lang w:val="de-DE"/>
            </w:rPr>
            <w:t>, ist</w:t>
          </w:r>
          <w:r w:rsidRPr="00540621">
            <w:rPr>
              <w:highlight w:val="cyan"/>
              <w:lang w:val="de-DE"/>
            </w:rPr>
            <w:t xml:space="preserve"> nicht richtig, wie diese Stellungnahme und diejenige zur Mantelverordnung ausführlich darleg</w:t>
          </w:r>
          <w:r w:rsidR="000152C1" w:rsidRPr="00540621">
            <w:rPr>
              <w:highlight w:val="cyan"/>
              <w:lang w:val="de-DE"/>
            </w:rPr>
            <w:t>en</w:t>
          </w:r>
          <w:r w:rsidRPr="00540621">
            <w:rPr>
              <w:highlight w:val="cyan"/>
              <w:lang w:val="de-DE"/>
            </w:rPr>
            <w:t>.</w:t>
          </w:r>
        </w:p>
        <w:p w14:paraId="661CC040" w14:textId="77777777" w:rsidR="00D83A06" w:rsidRPr="00540621" w:rsidRDefault="00D83A06" w:rsidP="00D83A06">
          <w:pPr>
            <w:ind w:left="708"/>
            <w:rPr>
              <w:highlight w:val="cyan"/>
              <w:lang w:val="de-DE"/>
            </w:rPr>
          </w:pPr>
          <w:r w:rsidRPr="00540621">
            <w:rPr>
              <w:highlight w:val="cyan"/>
              <w:lang w:val="de-DE"/>
            </w:rPr>
            <w:t>Zudem müssen alle Erfüllungsaufwände, die durch die Änderung bzw. die Neuregelungen von Rechtsverordnungen aufgrund des Mantelgesetzes entstehen ebenfalls hier dargestellt werden.</w:t>
          </w:r>
        </w:p>
        <w:p w14:paraId="1EAFCB6A" w14:textId="7BA4D560" w:rsidR="00390AEE" w:rsidRDefault="00D83A06" w:rsidP="00D83A06">
          <w:pPr>
            <w:ind w:left="708"/>
            <w:rPr>
              <w:lang w:val="de-DE"/>
            </w:rPr>
          </w:pPr>
          <w:r w:rsidRPr="00540621">
            <w:rPr>
              <w:highlight w:val="cyan"/>
              <w:lang w:val="de-DE"/>
            </w:rPr>
            <w:t xml:space="preserve">Es ist irreführend, den angeblichen Erfüllungsaufwand nur auf Regelungen im Mantelgesetz zu beziehen und damit die Folgelasten, die durch die Rechtsverordnungen aufgrund des Mantelgesetzes entstehen (insbesondere die 45. BImSchV) in der Vorlage des Artikelgesetzes </w:t>
          </w:r>
          <w:r w:rsidR="00863F38" w:rsidRPr="00540621">
            <w:rPr>
              <w:highlight w:val="cyan"/>
              <w:lang w:val="de-DE"/>
            </w:rPr>
            <w:t>auszulassen</w:t>
          </w:r>
          <w:r w:rsidRPr="00540621">
            <w:rPr>
              <w:highlight w:val="cyan"/>
              <w:lang w:val="de-DE"/>
            </w:rPr>
            <w:t xml:space="preserve">. Denn der Gesetzgeber entscheidet über Verordnungsermächtigungen und damit unmittelbar über die Befugnis der Exekutive, für die Wirtschaft sehr aufwendige Verordnungen zu erlassen. Daher </w:t>
          </w:r>
          <w:r w:rsidR="00540621">
            <w:rPr>
              <w:highlight w:val="cyan"/>
              <w:lang w:val="de-DE"/>
            </w:rPr>
            <w:t>sollte</w:t>
          </w:r>
          <w:r w:rsidRPr="00540621">
            <w:rPr>
              <w:highlight w:val="cyan"/>
              <w:lang w:val="de-DE"/>
            </w:rPr>
            <w:t xml:space="preserve"> das Parlament auch über diese Folgelasten informiert werden.</w:t>
          </w:r>
        </w:p>
        <w:p w14:paraId="6A00EFD2" w14:textId="107781A5" w:rsidR="00126075" w:rsidRPr="00390AEE" w:rsidRDefault="00126075" w:rsidP="00390AEE">
          <w:pPr>
            <w:ind w:left="708"/>
            <w:rPr>
              <w:lang w:val="de-DE"/>
            </w:rPr>
          </w:pPr>
          <w:r>
            <w:rPr>
              <w:b/>
              <w:bCs/>
              <w:color w:val="FF0000"/>
              <w:lang w:val="de-DE"/>
            </w:rPr>
            <w:br w:type="page"/>
          </w:r>
        </w:p>
        <w:bookmarkEnd w:id="4" w:displacedByCustomXml="next"/>
        <w:bookmarkStart w:id="5" w:name="_Toc496532220" w:displacedByCustomXml="next"/>
        <w:sdt>
          <w:sdtPr>
            <w:rPr>
              <w:rFonts w:eastAsiaTheme="minorEastAsia" w:cstheme="minorBidi"/>
              <w:b w:val="0"/>
              <w:color w:val="7392A1" w:themeColor="text1" w:themeTint="A5"/>
              <w:sz w:val="18"/>
              <w:szCs w:val="20"/>
            </w:rPr>
            <w:id w:val="-2139476496"/>
            <w:docPartObj>
              <w:docPartGallery w:val="Table of Contents"/>
              <w:docPartUnique/>
            </w:docPartObj>
          </w:sdtPr>
          <w:sdtEndPr>
            <w:rPr>
              <w:rFonts w:cs="Arial"/>
              <w:color w:val="3C505A" w:themeColor="text1"/>
              <w:sz w:val="20"/>
              <w:szCs w:val="24"/>
            </w:rPr>
          </w:sdtEndPr>
          <w:sdtContent>
            <w:p w14:paraId="62CAA15A" w14:textId="77777777" w:rsidR="00921A65" w:rsidRPr="00947542" w:rsidRDefault="00C97ED0" w:rsidP="00221F32">
              <w:pPr>
                <w:pStyle w:val="Cover1"/>
                <w:spacing w:line="240" w:lineRule="auto"/>
                <w:rPr>
                  <w:lang w:val="de-DE"/>
                </w:rPr>
              </w:pPr>
              <w:r w:rsidRPr="00947542">
                <w:rPr>
                  <w:lang w:val="de-DE"/>
                </w:rPr>
                <w:t>Inhaltsverzeichnis</w:t>
              </w:r>
              <w:bookmarkEnd w:id="5"/>
            </w:p>
            <w:p w14:paraId="58F9D04A" w14:textId="1A6934FF" w:rsidR="00AF2887" w:rsidRDefault="00F821FC">
              <w:pPr>
                <w:pStyle w:val="Verzeichnis1"/>
                <w:rPr>
                  <w:rFonts w:asciiTheme="minorHAnsi" w:hAnsiTheme="minorHAnsi" w:cstheme="minorBidi"/>
                  <w:b w:val="0"/>
                  <w:bCs w:val="0"/>
                  <w:color w:val="auto"/>
                  <w:kern w:val="2"/>
                  <w:sz w:val="24"/>
                  <w:lang w:eastAsia="de-DE"/>
                  <w14:ligatures w14:val="standardContextual"/>
                </w:rPr>
              </w:pPr>
              <w:r w:rsidRPr="000F3145">
                <w:fldChar w:fldCharType="begin"/>
              </w:r>
              <w:r w:rsidRPr="000F3145">
                <w:instrText xml:space="preserve"> TOC \o "3-3" \h \z \t "Überschrift 1;1;Überschrift 2;2" </w:instrText>
              </w:r>
              <w:r w:rsidRPr="000F3145">
                <w:fldChar w:fldCharType="separate"/>
              </w:r>
              <w:hyperlink w:anchor="_Toc187072901" w:history="1">
                <w:r w:rsidR="00AF2887" w:rsidRPr="00315586">
                  <w:rPr>
                    <w:rStyle w:val="Hyperlink"/>
                  </w:rPr>
                  <w:t>Zusammenfassung</w:t>
                </w:r>
                <w:r w:rsidR="00AF2887">
                  <w:rPr>
                    <w:webHidden/>
                  </w:rPr>
                  <w:tab/>
                </w:r>
                <w:r w:rsidR="00AF2887">
                  <w:rPr>
                    <w:webHidden/>
                  </w:rPr>
                  <w:fldChar w:fldCharType="begin"/>
                </w:r>
                <w:r w:rsidR="00AF2887">
                  <w:rPr>
                    <w:webHidden/>
                  </w:rPr>
                  <w:instrText xml:space="preserve"> PAGEREF _Toc187072901 \h </w:instrText>
                </w:r>
                <w:r w:rsidR="00AF2887">
                  <w:rPr>
                    <w:webHidden/>
                  </w:rPr>
                </w:r>
                <w:r w:rsidR="00AF2887">
                  <w:rPr>
                    <w:webHidden/>
                  </w:rPr>
                  <w:fldChar w:fldCharType="separate"/>
                </w:r>
                <w:r w:rsidR="005D10BF">
                  <w:rPr>
                    <w:webHidden/>
                  </w:rPr>
                  <w:t>1</w:t>
                </w:r>
                <w:r w:rsidR="00AF2887">
                  <w:rPr>
                    <w:webHidden/>
                  </w:rPr>
                  <w:fldChar w:fldCharType="end"/>
                </w:r>
              </w:hyperlink>
            </w:p>
            <w:p w14:paraId="02B87BEE" w14:textId="70BF7905"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02" w:history="1">
                <w:r w:rsidRPr="00315586">
                  <w:rPr>
                    <w:rStyle w:val="Hyperlink"/>
                  </w:rPr>
                  <w:t>1.</w:t>
                </w:r>
                <w:r>
                  <w:rPr>
                    <w:rFonts w:asciiTheme="minorHAnsi" w:hAnsiTheme="minorHAnsi" w:cstheme="minorBidi"/>
                    <w:b w:val="0"/>
                    <w:bCs w:val="0"/>
                    <w:color w:val="auto"/>
                    <w:kern w:val="2"/>
                    <w:sz w:val="24"/>
                    <w:lang w:eastAsia="de-DE"/>
                    <w14:ligatures w14:val="standardContextual"/>
                  </w:rPr>
                  <w:tab/>
                </w:r>
                <w:r w:rsidRPr="00315586">
                  <w:rPr>
                    <w:rStyle w:val="Hyperlink"/>
                  </w:rPr>
                  <w:t>BImSchG</w:t>
                </w:r>
                <w:r>
                  <w:rPr>
                    <w:webHidden/>
                  </w:rPr>
                  <w:tab/>
                </w:r>
                <w:r>
                  <w:rPr>
                    <w:webHidden/>
                  </w:rPr>
                  <w:fldChar w:fldCharType="begin"/>
                </w:r>
                <w:r>
                  <w:rPr>
                    <w:webHidden/>
                  </w:rPr>
                  <w:instrText xml:space="preserve"> PAGEREF _Toc187072902 \h </w:instrText>
                </w:r>
                <w:r>
                  <w:rPr>
                    <w:webHidden/>
                  </w:rPr>
                </w:r>
                <w:r>
                  <w:rPr>
                    <w:webHidden/>
                  </w:rPr>
                  <w:fldChar w:fldCharType="separate"/>
                </w:r>
                <w:r w:rsidR="005D10BF">
                  <w:rPr>
                    <w:webHidden/>
                  </w:rPr>
                  <w:t>7</w:t>
                </w:r>
                <w:r>
                  <w:rPr>
                    <w:webHidden/>
                  </w:rPr>
                  <w:fldChar w:fldCharType="end"/>
                </w:r>
              </w:hyperlink>
            </w:p>
            <w:p w14:paraId="7A771327" w14:textId="22377E26"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03" w:history="1">
                <w:r w:rsidRPr="00315586">
                  <w:rPr>
                    <w:rStyle w:val="Hyperlink"/>
                  </w:rPr>
                  <w:t>1.1 Änderung der Zweckbestimmung auf IED-Anlagen beschränken (§ 1 Abs. 2 BImSchG)</w:t>
                </w:r>
                <w:r>
                  <w:rPr>
                    <w:webHidden/>
                  </w:rPr>
                  <w:tab/>
                </w:r>
                <w:r>
                  <w:rPr>
                    <w:webHidden/>
                  </w:rPr>
                  <w:fldChar w:fldCharType="begin"/>
                </w:r>
                <w:r>
                  <w:rPr>
                    <w:webHidden/>
                  </w:rPr>
                  <w:instrText xml:space="preserve"> PAGEREF _Toc187072903 \h </w:instrText>
                </w:r>
                <w:r>
                  <w:rPr>
                    <w:webHidden/>
                  </w:rPr>
                </w:r>
                <w:r>
                  <w:rPr>
                    <w:webHidden/>
                  </w:rPr>
                  <w:fldChar w:fldCharType="separate"/>
                </w:r>
                <w:r w:rsidR="005D10BF">
                  <w:rPr>
                    <w:webHidden/>
                  </w:rPr>
                  <w:t>7</w:t>
                </w:r>
                <w:r>
                  <w:rPr>
                    <w:webHidden/>
                  </w:rPr>
                  <w:fldChar w:fldCharType="end"/>
                </w:r>
              </w:hyperlink>
            </w:p>
            <w:p w14:paraId="4526BA21" w14:textId="089D7E4F"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04" w:history="1">
                <w:r w:rsidRPr="00315586">
                  <w:rPr>
                    <w:rStyle w:val="Hyperlink"/>
                  </w:rPr>
                  <w:t>1.2 Umweltvergleichswerte und Umweltleistungsrichtwerte nicht in das Umweltmanagementsystem aufnehmen (§ 3 Abs. 6h und 6i BImSchG)</w:t>
                </w:r>
                <w:r>
                  <w:rPr>
                    <w:webHidden/>
                  </w:rPr>
                  <w:tab/>
                </w:r>
                <w:r>
                  <w:rPr>
                    <w:webHidden/>
                  </w:rPr>
                  <w:fldChar w:fldCharType="begin"/>
                </w:r>
                <w:r>
                  <w:rPr>
                    <w:webHidden/>
                  </w:rPr>
                  <w:instrText xml:space="preserve"> PAGEREF _Toc187072904 \h </w:instrText>
                </w:r>
                <w:r>
                  <w:rPr>
                    <w:webHidden/>
                  </w:rPr>
                </w:r>
                <w:r>
                  <w:rPr>
                    <w:webHidden/>
                  </w:rPr>
                  <w:fldChar w:fldCharType="separate"/>
                </w:r>
                <w:r w:rsidR="005D10BF">
                  <w:rPr>
                    <w:webHidden/>
                  </w:rPr>
                  <w:t>7</w:t>
                </w:r>
                <w:r>
                  <w:rPr>
                    <w:webHidden/>
                  </w:rPr>
                  <w:fldChar w:fldCharType="end"/>
                </w:r>
              </w:hyperlink>
            </w:p>
            <w:p w14:paraId="79BF513C" w14:textId="2183F2E7"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05" w:history="1">
                <w:r w:rsidRPr="00315586">
                  <w:rPr>
                    <w:rStyle w:val="Hyperlink"/>
                  </w:rPr>
                  <w:t>1.3 Neue Betreiberpflichten auf IED-Anlagen beschränken (§ 5 Abs. 1 Nr. 4 und Nr. 5 BImSchG)</w:t>
                </w:r>
                <w:r>
                  <w:rPr>
                    <w:webHidden/>
                  </w:rPr>
                  <w:tab/>
                </w:r>
                <w:r>
                  <w:rPr>
                    <w:webHidden/>
                  </w:rPr>
                  <w:fldChar w:fldCharType="begin"/>
                </w:r>
                <w:r>
                  <w:rPr>
                    <w:webHidden/>
                  </w:rPr>
                  <w:instrText xml:space="preserve"> PAGEREF _Toc187072905 \h </w:instrText>
                </w:r>
                <w:r>
                  <w:rPr>
                    <w:webHidden/>
                  </w:rPr>
                </w:r>
                <w:r>
                  <w:rPr>
                    <w:webHidden/>
                  </w:rPr>
                  <w:fldChar w:fldCharType="separate"/>
                </w:r>
                <w:r w:rsidR="005D10BF">
                  <w:rPr>
                    <w:webHidden/>
                  </w:rPr>
                  <w:t>8</w:t>
                </w:r>
                <w:r>
                  <w:rPr>
                    <w:webHidden/>
                  </w:rPr>
                  <w:fldChar w:fldCharType="end"/>
                </w:r>
              </w:hyperlink>
            </w:p>
            <w:p w14:paraId="3B9C756A" w14:textId="4D7236E0"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06" w:history="1">
                <w:r w:rsidRPr="00315586">
                  <w:rPr>
                    <w:rStyle w:val="Hyperlink"/>
                  </w:rPr>
                  <w:t>1.4 Umfang des Umweltmanagementsystems an Komplexität der Anlage anpassen (§ 5 Abs. 1 Satz 2 (neu) BImSchG)</w:t>
                </w:r>
                <w:r>
                  <w:rPr>
                    <w:webHidden/>
                  </w:rPr>
                  <w:tab/>
                </w:r>
                <w:r>
                  <w:rPr>
                    <w:webHidden/>
                  </w:rPr>
                  <w:fldChar w:fldCharType="begin"/>
                </w:r>
                <w:r>
                  <w:rPr>
                    <w:webHidden/>
                  </w:rPr>
                  <w:instrText xml:space="preserve"> PAGEREF _Toc187072906 \h </w:instrText>
                </w:r>
                <w:r>
                  <w:rPr>
                    <w:webHidden/>
                  </w:rPr>
                </w:r>
                <w:r>
                  <w:rPr>
                    <w:webHidden/>
                  </w:rPr>
                  <w:fldChar w:fldCharType="separate"/>
                </w:r>
                <w:r w:rsidR="005D10BF">
                  <w:rPr>
                    <w:webHidden/>
                  </w:rPr>
                  <w:t>8</w:t>
                </w:r>
                <w:r>
                  <w:rPr>
                    <w:webHidden/>
                  </w:rPr>
                  <w:fldChar w:fldCharType="end"/>
                </w:r>
              </w:hyperlink>
            </w:p>
            <w:p w14:paraId="7C513ED8" w14:textId="49921253"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07" w:history="1">
                <w:r w:rsidRPr="00315586">
                  <w:rPr>
                    <w:rStyle w:val="Hyperlink"/>
                  </w:rPr>
                  <w:t>1.5 Keine Nachteile bei verzögerter BVT-Umsetzung</w:t>
                </w:r>
                <w:r>
                  <w:rPr>
                    <w:webHidden/>
                  </w:rPr>
                  <w:tab/>
                </w:r>
                <w:r>
                  <w:rPr>
                    <w:webHidden/>
                  </w:rPr>
                  <w:fldChar w:fldCharType="begin"/>
                </w:r>
                <w:r>
                  <w:rPr>
                    <w:webHidden/>
                  </w:rPr>
                  <w:instrText xml:space="preserve"> PAGEREF _Toc187072907 \h </w:instrText>
                </w:r>
                <w:r>
                  <w:rPr>
                    <w:webHidden/>
                  </w:rPr>
                </w:r>
                <w:r>
                  <w:rPr>
                    <w:webHidden/>
                  </w:rPr>
                  <w:fldChar w:fldCharType="separate"/>
                </w:r>
                <w:r w:rsidR="005D10BF">
                  <w:rPr>
                    <w:webHidden/>
                  </w:rPr>
                  <w:t>9</w:t>
                </w:r>
                <w:r>
                  <w:rPr>
                    <w:webHidden/>
                  </w:rPr>
                  <w:fldChar w:fldCharType="end"/>
                </w:r>
              </w:hyperlink>
            </w:p>
            <w:p w14:paraId="53E4CE6B" w14:textId="3D830553"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08" w:history="1">
                <w:r w:rsidRPr="00315586">
                  <w:rPr>
                    <w:rStyle w:val="Hyperlink"/>
                  </w:rPr>
                  <w:t>1.6 Klarstellung zur Genehmigung modularer Anlagen in der Begründung (§ 6 BImSchG)</w:t>
                </w:r>
                <w:r>
                  <w:rPr>
                    <w:webHidden/>
                  </w:rPr>
                  <w:tab/>
                </w:r>
                <w:r>
                  <w:rPr>
                    <w:webHidden/>
                  </w:rPr>
                  <w:fldChar w:fldCharType="begin"/>
                </w:r>
                <w:r>
                  <w:rPr>
                    <w:webHidden/>
                  </w:rPr>
                  <w:instrText xml:space="preserve"> PAGEREF _Toc187072908 \h </w:instrText>
                </w:r>
                <w:r>
                  <w:rPr>
                    <w:webHidden/>
                  </w:rPr>
                </w:r>
                <w:r>
                  <w:rPr>
                    <w:webHidden/>
                  </w:rPr>
                  <w:fldChar w:fldCharType="separate"/>
                </w:r>
                <w:r w:rsidR="005D10BF">
                  <w:rPr>
                    <w:webHidden/>
                  </w:rPr>
                  <w:t>10</w:t>
                </w:r>
                <w:r>
                  <w:rPr>
                    <w:webHidden/>
                  </w:rPr>
                  <w:fldChar w:fldCharType="end"/>
                </w:r>
              </w:hyperlink>
            </w:p>
            <w:p w14:paraId="0BCFB2B8" w14:textId="75AB953C"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09" w:history="1">
                <w:r w:rsidRPr="00315586">
                  <w:rPr>
                    <w:rStyle w:val="Hyperlink"/>
                  </w:rPr>
                  <w:t>1.7 Differenzierung zwischen IED- und Nicht-IED Anlagen in der Verordnungsermächtigung erforderlich (§ 7 BImSchG)</w:t>
                </w:r>
                <w:r>
                  <w:rPr>
                    <w:webHidden/>
                  </w:rPr>
                  <w:tab/>
                </w:r>
                <w:r>
                  <w:rPr>
                    <w:webHidden/>
                  </w:rPr>
                  <w:fldChar w:fldCharType="begin"/>
                </w:r>
                <w:r>
                  <w:rPr>
                    <w:webHidden/>
                  </w:rPr>
                  <w:instrText xml:space="preserve"> PAGEREF _Toc187072909 \h </w:instrText>
                </w:r>
                <w:r>
                  <w:rPr>
                    <w:webHidden/>
                  </w:rPr>
                </w:r>
                <w:r>
                  <w:rPr>
                    <w:webHidden/>
                  </w:rPr>
                  <w:fldChar w:fldCharType="separate"/>
                </w:r>
                <w:r w:rsidR="005D10BF">
                  <w:rPr>
                    <w:webHidden/>
                  </w:rPr>
                  <w:t>10</w:t>
                </w:r>
                <w:r>
                  <w:rPr>
                    <w:webHidden/>
                  </w:rPr>
                  <w:fldChar w:fldCharType="end"/>
                </w:r>
              </w:hyperlink>
            </w:p>
            <w:p w14:paraId="3A07FA23" w14:textId="71D3109B"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10" w:history="1">
                <w:r w:rsidRPr="00315586">
                  <w:rPr>
                    <w:rStyle w:val="Hyperlink"/>
                  </w:rPr>
                  <w:t>1.8 Ausnahmekatalog vervollständigen: Aufnahme des geografischen Standorts und der lokalen Umweltbedingungen (§ 7, 12, 17, 48 BImSchG)</w:t>
                </w:r>
                <w:r>
                  <w:rPr>
                    <w:webHidden/>
                  </w:rPr>
                  <w:tab/>
                </w:r>
                <w:r>
                  <w:rPr>
                    <w:webHidden/>
                  </w:rPr>
                  <w:fldChar w:fldCharType="begin"/>
                </w:r>
                <w:r>
                  <w:rPr>
                    <w:webHidden/>
                  </w:rPr>
                  <w:instrText xml:space="preserve"> PAGEREF _Toc187072910 \h </w:instrText>
                </w:r>
                <w:r>
                  <w:rPr>
                    <w:webHidden/>
                  </w:rPr>
                </w:r>
                <w:r>
                  <w:rPr>
                    <w:webHidden/>
                  </w:rPr>
                  <w:fldChar w:fldCharType="separate"/>
                </w:r>
                <w:r w:rsidR="005D10BF">
                  <w:rPr>
                    <w:webHidden/>
                  </w:rPr>
                  <w:t>11</w:t>
                </w:r>
                <w:r>
                  <w:rPr>
                    <w:webHidden/>
                  </w:rPr>
                  <w:fldChar w:fldCharType="end"/>
                </w:r>
              </w:hyperlink>
            </w:p>
            <w:p w14:paraId="5F13DA85" w14:textId="77E34720"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11" w:history="1">
                <w:r w:rsidRPr="00315586">
                  <w:rPr>
                    <w:rStyle w:val="Hyperlink"/>
                  </w:rPr>
                  <w:t>1.9 Aufwändiges Ausnahmeverfahren darf nicht für Festlegung von Grenzwerten innerhalb europäischer Bandbreiten gelten (§§ 7, 12, 17, 48 BImSchG)</w:t>
                </w:r>
                <w:r>
                  <w:rPr>
                    <w:webHidden/>
                  </w:rPr>
                  <w:tab/>
                </w:r>
                <w:r>
                  <w:rPr>
                    <w:webHidden/>
                  </w:rPr>
                  <w:fldChar w:fldCharType="begin"/>
                </w:r>
                <w:r>
                  <w:rPr>
                    <w:webHidden/>
                  </w:rPr>
                  <w:instrText xml:space="preserve"> PAGEREF _Toc187072911 \h </w:instrText>
                </w:r>
                <w:r>
                  <w:rPr>
                    <w:webHidden/>
                  </w:rPr>
                </w:r>
                <w:r>
                  <w:rPr>
                    <w:webHidden/>
                  </w:rPr>
                  <w:fldChar w:fldCharType="separate"/>
                </w:r>
                <w:r w:rsidR="005D10BF">
                  <w:rPr>
                    <w:webHidden/>
                  </w:rPr>
                  <w:t>11</w:t>
                </w:r>
                <w:r>
                  <w:rPr>
                    <w:webHidden/>
                  </w:rPr>
                  <w:fldChar w:fldCharType="end"/>
                </w:r>
              </w:hyperlink>
            </w:p>
            <w:p w14:paraId="17B2F6F0" w14:textId="7B07B04F"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12" w:history="1">
                <w:r w:rsidRPr="00315586">
                  <w:rPr>
                    <w:rStyle w:val="Hyperlink"/>
                  </w:rPr>
                  <w:t>1.10 Ausnahmereglungen zum Krisenfall umsetzen (§ 7 BImSchG)</w:t>
                </w:r>
                <w:r>
                  <w:rPr>
                    <w:webHidden/>
                  </w:rPr>
                  <w:tab/>
                </w:r>
                <w:r>
                  <w:rPr>
                    <w:webHidden/>
                  </w:rPr>
                  <w:fldChar w:fldCharType="begin"/>
                </w:r>
                <w:r>
                  <w:rPr>
                    <w:webHidden/>
                  </w:rPr>
                  <w:instrText xml:space="preserve"> PAGEREF _Toc187072912 \h </w:instrText>
                </w:r>
                <w:r>
                  <w:rPr>
                    <w:webHidden/>
                  </w:rPr>
                </w:r>
                <w:r>
                  <w:rPr>
                    <w:webHidden/>
                  </w:rPr>
                  <w:fldChar w:fldCharType="separate"/>
                </w:r>
                <w:r w:rsidR="005D10BF">
                  <w:rPr>
                    <w:webHidden/>
                  </w:rPr>
                  <w:t>12</w:t>
                </w:r>
                <w:r>
                  <w:rPr>
                    <w:webHidden/>
                  </w:rPr>
                  <w:fldChar w:fldCharType="end"/>
                </w:r>
              </w:hyperlink>
            </w:p>
            <w:p w14:paraId="47B807C4" w14:textId="369998C5"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13" w:history="1">
                <w:r w:rsidRPr="00315586">
                  <w:rPr>
                    <w:rStyle w:val="Hyperlink"/>
                  </w:rPr>
                  <w:t>1.11 Tiefgreifende industrielle Transformation umfassend umsetzen (§§ 7, 12, 17, 48 BImSchG)</w:t>
                </w:r>
                <w:r>
                  <w:rPr>
                    <w:webHidden/>
                  </w:rPr>
                  <w:tab/>
                </w:r>
                <w:r>
                  <w:rPr>
                    <w:webHidden/>
                  </w:rPr>
                  <w:fldChar w:fldCharType="begin"/>
                </w:r>
                <w:r>
                  <w:rPr>
                    <w:webHidden/>
                  </w:rPr>
                  <w:instrText xml:space="preserve"> PAGEREF _Toc187072913 \h </w:instrText>
                </w:r>
                <w:r>
                  <w:rPr>
                    <w:webHidden/>
                  </w:rPr>
                </w:r>
                <w:r>
                  <w:rPr>
                    <w:webHidden/>
                  </w:rPr>
                  <w:fldChar w:fldCharType="separate"/>
                </w:r>
                <w:r w:rsidR="005D10BF">
                  <w:rPr>
                    <w:webHidden/>
                  </w:rPr>
                  <w:t>12</w:t>
                </w:r>
                <w:r>
                  <w:rPr>
                    <w:webHidden/>
                  </w:rPr>
                  <w:fldChar w:fldCharType="end"/>
                </w:r>
              </w:hyperlink>
            </w:p>
            <w:p w14:paraId="7A0EB4FA" w14:textId="6E4BCF62"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14" w:history="1">
                <w:r w:rsidRPr="00315586">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315586">
                  <w:rPr>
                    <w:rStyle w:val="Hyperlink"/>
                  </w:rPr>
                  <w:t>Anlagenersetzung auch räumlich abweichend vom ursprünglichen Anlagenstandort ermöglichen</w:t>
                </w:r>
                <w:r>
                  <w:rPr>
                    <w:webHidden/>
                  </w:rPr>
                  <w:tab/>
                </w:r>
                <w:r>
                  <w:rPr>
                    <w:webHidden/>
                  </w:rPr>
                  <w:fldChar w:fldCharType="begin"/>
                </w:r>
                <w:r>
                  <w:rPr>
                    <w:webHidden/>
                  </w:rPr>
                  <w:instrText xml:space="preserve"> PAGEREF _Toc187072914 \h </w:instrText>
                </w:r>
                <w:r>
                  <w:rPr>
                    <w:webHidden/>
                  </w:rPr>
                </w:r>
                <w:r>
                  <w:rPr>
                    <w:webHidden/>
                  </w:rPr>
                  <w:fldChar w:fldCharType="separate"/>
                </w:r>
                <w:r w:rsidR="005D10BF">
                  <w:rPr>
                    <w:webHidden/>
                  </w:rPr>
                  <w:t>12</w:t>
                </w:r>
                <w:r>
                  <w:rPr>
                    <w:webHidden/>
                  </w:rPr>
                  <w:fldChar w:fldCharType="end"/>
                </w:r>
              </w:hyperlink>
            </w:p>
            <w:p w14:paraId="2141E5AA" w14:textId="11001C6F"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15" w:history="1">
                <w:r w:rsidRPr="00315586">
                  <w:rPr>
                    <w:rStyle w:val="Hyperlink"/>
                    <w:rFonts w:ascii="Wingdings" w:hAnsi="Wingdings"/>
                  </w:rPr>
                  <w:t></w:t>
                </w:r>
                <w:r>
                  <w:rPr>
                    <w:rFonts w:asciiTheme="minorHAnsi" w:hAnsiTheme="minorHAnsi" w:cstheme="minorBidi"/>
                    <w:b w:val="0"/>
                    <w:bCs w:val="0"/>
                    <w:color w:val="auto"/>
                    <w:kern w:val="2"/>
                    <w:sz w:val="24"/>
                    <w:lang w:eastAsia="de-DE"/>
                    <w14:ligatures w14:val="standardContextual"/>
                  </w:rPr>
                  <w:tab/>
                </w:r>
                <w:r w:rsidRPr="00315586">
                  <w:rPr>
                    <w:rStyle w:val="Hyperlink"/>
                  </w:rPr>
                  <w:t>8-Jahres-Frist zur Transformation als Regelfall ausgestalten</w:t>
                </w:r>
                <w:r>
                  <w:rPr>
                    <w:webHidden/>
                  </w:rPr>
                  <w:tab/>
                </w:r>
                <w:r>
                  <w:rPr>
                    <w:webHidden/>
                  </w:rPr>
                  <w:fldChar w:fldCharType="begin"/>
                </w:r>
                <w:r>
                  <w:rPr>
                    <w:webHidden/>
                  </w:rPr>
                  <w:instrText xml:space="preserve"> PAGEREF _Toc187072915 \h </w:instrText>
                </w:r>
                <w:r>
                  <w:rPr>
                    <w:webHidden/>
                  </w:rPr>
                </w:r>
                <w:r>
                  <w:rPr>
                    <w:webHidden/>
                  </w:rPr>
                  <w:fldChar w:fldCharType="separate"/>
                </w:r>
                <w:r w:rsidR="005D10BF">
                  <w:rPr>
                    <w:webHidden/>
                  </w:rPr>
                  <w:t>13</w:t>
                </w:r>
                <w:r>
                  <w:rPr>
                    <w:webHidden/>
                  </w:rPr>
                  <w:fldChar w:fldCharType="end"/>
                </w:r>
              </w:hyperlink>
            </w:p>
            <w:p w14:paraId="7814748F" w14:textId="212DA768"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16" w:history="1">
                <w:r w:rsidRPr="00315586">
                  <w:rPr>
                    <w:rStyle w:val="Hyperlink"/>
                    <w:rFonts w:ascii="Wingdings" w:hAnsi="Wingdings"/>
                    <w:highlight w:val="cyan"/>
                  </w:rPr>
                  <w:t></w:t>
                </w:r>
                <w:r>
                  <w:rPr>
                    <w:rFonts w:asciiTheme="minorHAnsi" w:hAnsiTheme="minorHAnsi" w:cstheme="minorBidi"/>
                    <w:b w:val="0"/>
                    <w:bCs w:val="0"/>
                    <w:color w:val="auto"/>
                    <w:kern w:val="2"/>
                    <w:sz w:val="24"/>
                    <w:lang w:eastAsia="de-DE"/>
                    <w14:ligatures w14:val="standardContextual"/>
                  </w:rPr>
                  <w:tab/>
                </w:r>
                <w:r w:rsidRPr="00315586">
                  <w:rPr>
                    <w:rStyle w:val="Hyperlink"/>
                    <w:highlight w:val="cyan"/>
                  </w:rPr>
                  <w:t>Tiefgreifende industrielle Transformation als Sollvorschrift ausgestalten</w:t>
                </w:r>
                <w:r>
                  <w:rPr>
                    <w:webHidden/>
                  </w:rPr>
                  <w:tab/>
                </w:r>
                <w:r>
                  <w:rPr>
                    <w:webHidden/>
                  </w:rPr>
                  <w:fldChar w:fldCharType="begin"/>
                </w:r>
                <w:r>
                  <w:rPr>
                    <w:webHidden/>
                  </w:rPr>
                  <w:instrText xml:space="preserve"> PAGEREF _Toc187072916 \h </w:instrText>
                </w:r>
                <w:r>
                  <w:rPr>
                    <w:webHidden/>
                  </w:rPr>
                </w:r>
                <w:r>
                  <w:rPr>
                    <w:webHidden/>
                  </w:rPr>
                  <w:fldChar w:fldCharType="separate"/>
                </w:r>
                <w:r w:rsidR="005D10BF">
                  <w:rPr>
                    <w:webHidden/>
                  </w:rPr>
                  <w:t>13</w:t>
                </w:r>
                <w:r>
                  <w:rPr>
                    <w:webHidden/>
                  </w:rPr>
                  <w:fldChar w:fldCharType="end"/>
                </w:r>
              </w:hyperlink>
            </w:p>
            <w:p w14:paraId="43C88EEE" w14:textId="02814C34"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17" w:history="1">
                <w:r w:rsidRPr="00315586">
                  <w:rPr>
                    <w:rStyle w:val="Hyperlink"/>
                    <w:highlight w:val="cyan"/>
                  </w:rPr>
                  <w:t>1.12 Ausnahmevorschrift Zukunftstechniken als Soll-Vorschrift etablieren (§§ 7, 12, 17, 48 BImSchG)</w:t>
                </w:r>
                <w:r>
                  <w:rPr>
                    <w:webHidden/>
                  </w:rPr>
                  <w:tab/>
                </w:r>
                <w:r>
                  <w:rPr>
                    <w:webHidden/>
                  </w:rPr>
                  <w:fldChar w:fldCharType="begin"/>
                </w:r>
                <w:r>
                  <w:rPr>
                    <w:webHidden/>
                  </w:rPr>
                  <w:instrText xml:space="preserve"> PAGEREF _Toc187072917 \h </w:instrText>
                </w:r>
                <w:r>
                  <w:rPr>
                    <w:webHidden/>
                  </w:rPr>
                </w:r>
                <w:r>
                  <w:rPr>
                    <w:webHidden/>
                  </w:rPr>
                  <w:fldChar w:fldCharType="separate"/>
                </w:r>
                <w:r w:rsidR="005D10BF">
                  <w:rPr>
                    <w:webHidden/>
                  </w:rPr>
                  <w:t>13</w:t>
                </w:r>
                <w:r>
                  <w:rPr>
                    <w:webHidden/>
                  </w:rPr>
                  <w:fldChar w:fldCharType="end"/>
                </w:r>
              </w:hyperlink>
            </w:p>
            <w:p w14:paraId="00201968" w14:textId="1BD8E5B9"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18" w:history="1">
                <w:r w:rsidRPr="00315586">
                  <w:rPr>
                    <w:rStyle w:val="Hyperlink"/>
                  </w:rPr>
                  <w:t>1.13 Erörterungstermin fakultativ ausgestalten (§ 10 Abs. 6 BImSchG)</w:t>
                </w:r>
                <w:r>
                  <w:rPr>
                    <w:webHidden/>
                  </w:rPr>
                  <w:tab/>
                </w:r>
                <w:r>
                  <w:rPr>
                    <w:webHidden/>
                  </w:rPr>
                  <w:fldChar w:fldCharType="begin"/>
                </w:r>
                <w:r>
                  <w:rPr>
                    <w:webHidden/>
                  </w:rPr>
                  <w:instrText xml:space="preserve"> PAGEREF _Toc187072918 \h </w:instrText>
                </w:r>
                <w:r>
                  <w:rPr>
                    <w:webHidden/>
                  </w:rPr>
                </w:r>
                <w:r>
                  <w:rPr>
                    <w:webHidden/>
                  </w:rPr>
                  <w:fldChar w:fldCharType="separate"/>
                </w:r>
                <w:r w:rsidR="005D10BF">
                  <w:rPr>
                    <w:webHidden/>
                  </w:rPr>
                  <w:t>14</w:t>
                </w:r>
                <w:r>
                  <w:rPr>
                    <w:webHidden/>
                  </w:rPr>
                  <w:fldChar w:fldCharType="end"/>
                </w:r>
              </w:hyperlink>
            </w:p>
            <w:p w14:paraId="6A7B4F32" w14:textId="54EFD514"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19" w:history="1">
                <w:r w:rsidRPr="00315586">
                  <w:rPr>
                    <w:rStyle w:val="Hyperlink"/>
                  </w:rPr>
                  <w:t>1.14 Stichtagsregelungen einführen (§ 10 Abs. 6a BImSchG)</w:t>
                </w:r>
                <w:r>
                  <w:rPr>
                    <w:webHidden/>
                  </w:rPr>
                  <w:tab/>
                </w:r>
                <w:r>
                  <w:rPr>
                    <w:webHidden/>
                  </w:rPr>
                  <w:fldChar w:fldCharType="begin"/>
                </w:r>
                <w:r>
                  <w:rPr>
                    <w:webHidden/>
                  </w:rPr>
                  <w:instrText xml:space="preserve"> PAGEREF _Toc187072919 \h </w:instrText>
                </w:r>
                <w:r>
                  <w:rPr>
                    <w:webHidden/>
                  </w:rPr>
                </w:r>
                <w:r>
                  <w:rPr>
                    <w:webHidden/>
                  </w:rPr>
                  <w:fldChar w:fldCharType="separate"/>
                </w:r>
                <w:r w:rsidR="005D10BF">
                  <w:rPr>
                    <w:webHidden/>
                  </w:rPr>
                  <w:t>14</w:t>
                </w:r>
                <w:r>
                  <w:rPr>
                    <w:webHidden/>
                  </w:rPr>
                  <w:fldChar w:fldCharType="end"/>
                </w:r>
              </w:hyperlink>
            </w:p>
            <w:p w14:paraId="179A15A6" w14:textId="762D68C1"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20" w:history="1">
                <w:r w:rsidRPr="00315586">
                  <w:rPr>
                    <w:rStyle w:val="Hyperlink"/>
                  </w:rPr>
                  <w:t>1.15 Kein Regelfall, Nebenbestimmungen von Genehmigungen zu konsolidieren (§ 10 Abs. 8a BImSchG)</w:t>
                </w:r>
                <w:r>
                  <w:rPr>
                    <w:webHidden/>
                  </w:rPr>
                  <w:tab/>
                </w:r>
                <w:r>
                  <w:rPr>
                    <w:webHidden/>
                  </w:rPr>
                  <w:fldChar w:fldCharType="begin"/>
                </w:r>
                <w:r>
                  <w:rPr>
                    <w:webHidden/>
                  </w:rPr>
                  <w:instrText xml:space="preserve"> PAGEREF _Toc187072920 \h </w:instrText>
                </w:r>
                <w:r>
                  <w:rPr>
                    <w:webHidden/>
                  </w:rPr>
                </w:r>
                <w:r>
                  <w:rPr>
                    <w:webHidden/>
                  </w:rPr>
                  <w:fldChar w:fldCharType="separate"/>
                </w:r>
                <w:r w:rsidR="005D10BF">
                  <w:rPr>
                    <w:webHidden/>
                  </w:rPr>
                  <w:t>15</w:t>
                </w:r>
                <w:r>
                  <w:rPr>
                    <w:webHidden/>
                  </w:rPr>
                  <w:fldChar w:fldCharType="end"/>
                </w:r>
              </w:hyperlink>
            </w:p>
            <w:p w14:paraId="0D3D330F" w14:textId="165AC0C0"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21" w:history="1">
                <w:r w:rsidRPr="00315586">
                  <w:rPr>
                    <w:rStyle w:val="Hyperlink"/>
                    <w:highlight w:val="cyan"/>
                  </w:rPr>
                  <w:t>1.16 Keine unmittelbare Anwendung von neuen Emissionsbandbreiten auf bestehende Anlagen (§ 12 Abs. 1a BImSchG)</w:t>
                </w:r>
                <w:r>
                  <w:rPr>
                    <w:webHidden/>
                  </w:rPr>
                  <w:tab/>
                </w:r>
                <w:r>
                  <w:rPr>
                    <w:webHidden/>
                  </w:rPr>
                  <w:fldChar w:fldCharType="begin"/>
                </w:r>
                <w:r>
                  <w:rPr>
                    <w:webHidden/>
                  </w:rPr>
                  <w:instrText xml:space="preserve"> PAGEREF _Toc187072921 \h </w:instrText>
                </w:r>
                <w:r>
                  <w:rPr>
                    <w:webHidden/>
                  </w:rPr>
                </w:r>
                <w:r>
                  <w:rPr>
                    <w:webHidden/>
                  </w:rPr>
                  <w:fldChar w:fldCharType="separate"/>
                </w:r>
                <w:r w:rsidR="005D10BF">
                  <w:rPr>
                    <w:webHidden/>
                  </w:rPr>
                  <w:t>16</w:t>
                </w:r>
                <w:r>
                  <w:rPr>
                    <w:webHidden/>
                  </w:rPr>
                  <w:fldChar w:fldCharType="end"/>
                </w:r>
              </w:hyperlink>
            </w:p>
            <w:p w14:paraId="7FDC914D" w14:textId="6E599506"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22" w:history="1">
                <w:r w:rsidRPr="00315586">
                  <w:rPr>
                    <w:rStyle w:val="Hyperlink"/>
                  </w:rPr>
                  <w:t xml:space="preserve">1.17 Keine unmittelbare Anwendung von Umweltleistungswerten </w:t>
                </w:r>
                <w:r w:rsidRPr="00315586">
                  <w:rPr>
                    <w:rStyle w:val="Hyperlink"/>
                    <w:highlight w:val="cyan"/>
                  </w:rPr>
                  <w:t>auf bestehende Anlagen</w:t>
                </w:r>
                <w:r w:rsidRPr="00315586">
                  <w:rPr>
                    <w:rStyle w:val="Hyperlink"/>
                  </w:rPr>
                  <w:t xml:space="preserve"> (§ 12 Abs. 1a Nr. 2 BImSchG)</w:t>
                </w:r>
                <w:r>
                  <w:rPr>
                    <w:webHidden/>
                  </w:rPr>
                  <w:tab/>
                </w:r>
                <w:r>
                  <w:rPr>
                    <w:webHidden/>
                  </w:rPr>
                  <w:fldChar w:fldCharType="begin"/>
                </w:r>
                <w:r>
                  <w:rPr>
                    <w:webHidden/>
                  </w:rPr>
                  <w:instrText xml:space="preserve"> PAGEREF _Toc187072922 \h </w:instrText>
                </w:r>
                <w:r>
                  <w:rPr>
                    <w:webHidden/>
                  </w:rPr>
                </w:r>
                <w:r>
                  <w:rPr>
                    <w:webHidden/>
                  </w:rPr>
                  <w:fldChar w:fldCharType="separate"/>
                </w:r>
                <w:r w:rsidR="005D10BF">
                  <w:rPr>
                    <w:webHidden/>
                  </w:rPr>
                  <w:t>17</w:t>
                </w:r>
                <w:r>
                  <w:rPr>
                    <w:webHidden/>
                  </w:rPr>
                  <w:fldChar w:fldCharType="end"/>
                </w:r>
              </w:hyperlink>
            </w:p>
            <w:p w14:paraId="4BBF226B" w14:textId="70193E23"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23" w:history="1">
                <w:r w:rsidRPr="00315586">
                  <w:rPr>
                    <w:rStyle w:val="Hyperlink"/>
                  </w:rPr>
                  <w:t>1.18 Regelungen zu Ausnahmen und industrieller Transformation ergänzen  (§ 12 BImSchG)</w:t>
                </w:r>
                <w:r>
                  <w:rPr>
                    <w:webHidden/>
                  </w:rPr>
                  <w:tab/>
                </w:r>
                <w:r>
                  <w:rPr>
                    <w:webHidden/>
                  </w:rPr>
                  <w:fldChar w:fldCharType="begin"/>
                </w:r>
                <w:r>
                  <w:rPr>
                    <w:webHidden/>
                  </w:rPr>
                  <w:instrText xml:space="preserve"> PAGEREF _Toc187072923 \h </w:instrText>
                </w:r>
                <w:r>
                  <w:rPr>
                    <w:webHidden/>
                  </w:rPr>
                </w:r>
                <w:r>
                  <w:rPr>
                    <w:webHidden/>
                  </w:rPr>
                  <w:fldChar w:fldCharType="separate"/>
                </w:r>
                <w:r w:rsidR="005D10BF">
                  <w:rPr>
                    <w:webHidden/>
                  </w:rPr>
                  <w:t>17</w:t>
                </w:r>
                <w:r>
                  <w:rPr>
                    <w:webHidden/>
                  </w:rPr>
                  <w:fldChar w:fldCharType="end"/>
                </w:r>
              </w:hyperlink>
            </w:p>
            <w:p w14:paraId="7E984EFD" w14:textId="0F03B877"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24" w:history="1">
                <w:r w:rsidRPr="00315586">
                  <w:rPr>
                    <w:rStyle w:val="Hyperlink"/>
                    <w:highlight w:val="cyan"/>
                  </w:rPr>
                  <w:t>1.19 Vorbehalt nachträglicher Auflagen stärker nutzen (§ 12 Abs. 2a BImSchG)</w:t>
                </w:r>
                <w:r>
                  <w:rPr>
                    <w:webHidden/>
                  </w:rPr>
                  <w:tab/>
                </w:r>
                <w:r>
                  <w:rPr>
                    <w:webHidden/>
                  </w:rPr>
                  <w:fldChar w:fldCharType="begin"/>
                </w:r>
                <w:r>
                  <w:rPr>
                    <w:webHidden/>
                  </w:rPr>
                  <w:instrText xml:space="preserve"> PAGEREF _Toc187072924 \h </w:instrText>
                </w:r>
                <w:r>
                  <w:rPr>
                    <w:webHidden/>
                  </w:rPr>
                </w:r>
                <w:r>
                  <w:rPr>
                    <w:webHidden/>
                  </w:rPr>
                  <w:fldChar w:fldCharType="separate"/>
                </w:r>
                <w:r w:rsidR="005D10BF">
                  <w:rPr>
                    <w:webHidden/>
                  </w:rPr>
                  <w:t>17</w:t>
                </w:r>
                <w:r>
                  <w:rPr>
                    <w:webHidden/>
                  </w:rPr>
                  <w:fldChar w:fldCharType="end"/>
                </w:r>
              </w:hyperlink>
            </w:p>
            <w:p w14:paraId="341B443C" w14:textId="4FF05D61"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25" w:history="1">
                <w:r w:rsidRPr="00315586">
                  <w:rPr>
                    <w:rStyle w:val="Hyperlink"/>
                    <w:highlight w:val="cyan"/>
                  </w:rPr>
                  <w:t>1.20 Schadensersatzanspruch konkretisieren und verschuldensabhängige Haftung verdeutlichen (§ 14a neu BImSchG)</w:t>
                </w:r>
                <w:r>
                  <w:rPr>
                    <w:webHidden/>
                  </w:rPr>
                  <w:tab/>
                </w:r>
                <w:r>
                  <w:rPr>
                    <w:webHidden/>
                  </w:rPr>
                  <w:fldChar w:fldCharType="begin"/>
                </w:r>
                <w:r>
                  <w:rPr>
                    <w:webHidden/>
                  </w:rPr>
                  <w:instrText xml:space="preserve"> PAGEREF _Toc187072925 \h </w:instrText>
                </w:r>
                <w:r>
                  <w:rPr>
                    <w:webHidden/>
                  </w:rPr>
                </w:r>
                <w:r>
                  <w:rPr>
                    <w:webHidden/>
                  </w:rPr>
                  <w:fldChar w:fldCharType="separate"/>
                </w:r>
                <w:r w:rsidR="005D10BF">
                  <w:rPr>
                    <w:webHidden/>
                  </w:rPr>
                  <w:t>18</w:t>
                </w:r>
                <w:r>
                  <w:rPr>
                    <w:webHidden/>
                  </w:rPr>
                  <w:fldChar w:fldCharType="end"/>
                </w:r>
              </w:hyperlink>
            </w:p>
            <w:p w14:paraId="1515833F" w14:textId="22081691"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26" w:history="1">
                <w:r w:rsidRPr="00315586">
                  <w:rPr>
                    <w:rStyle w:val="Hyperlink"/>
                  </w:rPr>
                  <w:t>1.21 Regelungen zu Ausnahmen und Industrieller Transformation ergänzen  (§ 17 BImSchG)</w:t>
                </w:r>
                <w:r>
                  <w:rPr>
                    <w:webHidden/>
                  </w:rPr>
                  <w:tab/>
                </w:r>
                <w:r>
                  <w:rPr>
                    <w:webHidden/>
                  </w:rPr>
                  <w:fldChar w:fldCharType="begin"/>
                </w:r>
                <w:r>
                  <w:rPr>
                    <w:webHidden/>
                  </w:rPr>
                  <w:instrText xml:space="preserve"> PAGEREF _Toc187072926 \h </w:instrText>
                </w:r>
                <w:r>
                  <w:rPr>
                    <w:webHidden/>
                  </w:rPr>
                </w:r>
                <w:r>
                  <w:rPr>
                    <w:webHidden/>
                  </w:rPr>
                  <w:fldChar w:fldCharType="separate"/>
                </w:r>
                <w:r w:rsidR="005D10BF">
                  <w:rPr>
                    <w:webHidden/>
                  </w:rPr>
                  <w:t>19</w:t>
                </w:r>
                <w:r>
                  <w:rPr>
                    <w:webHidden/>
                  </w:rPr>
                  <w:fldChar w:fldCharType="end"/>
                </w:r>
              </w:hyperlink>
            </w:p>
            <w:p w14:paraId="7558CC5E" w14:textId="2FD2EB12"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27" w:history="1">
                <w:r w:rsidRPr="00315586">
                  <w:rPr>
                    <w:rStyle w:val="Hyperlink"/>
                  </w:rPr>
                  <w:t>1.22 Emissionserklärung ersatzlos streichen (§ 27 BImSchG)</w:t>
                </w:r>
                <w:r>
                  <w:rPr>
                    <w:webHidden/>
                  </w:rPr>
                  <w:tab/>
                </w:r>
                <w:r>
                  <w:rPr>
                    <w:webHidden/>
                  </w:rPr>
                  <w:fldChar w:fldCharType="begin"/>
                </w:r>
                <w:r>
                  <w:rPr>
                    <w:webHidden/>
                  </w:rPr>
                  <w:instrText xml:space="preserve"> PAGEREF _Toc187072927 \h </w:instrText>
                </w:r>
                <w:r>
                  <w:rPr>
                    <w:webHidden/>
                  </w:rPr>
                </w:r>
                <w:r>
                  <w:rPr>
                    <w:webHidden/>
                  </w:rPr>
                  <w:fldChar w:fldCharType="separate"/>
                </w:r>
                <w:r w:rsidR="005D10BF">
                  <w:rPr>
                    <w:webHidden/>
                  </w:rPr>
                  <w:t>19</w:t>
                </w:r>
                <w:r>
                  <w:rPr>
                    <w:webHidden/>
                  </w:rPr>
                  <w:fldChar w:fldCharType="end"/>
                </w:r>
              </w:hyperlink>
            </w:p>
            <w:p w14:paraId="6AA53319" w14:textId="5635AA55"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28" w:history="1">
                <w:r w:rsidRPr="00315586">
                  <w:rPr>
                    <w:rStyle w:val="Hyperlink"/>
                  </w:rPr>
                  <w:t>1.23 Aktive Veröffentlichung von Ergebnissen der Emissionsüberwachung unbürokratisch und in Übereinstimmung mit der IED ausgestalten (§ 31 Abs. 5 BImSchG)</w:t>
                </w:r>
                <w:r>
                  <w:rPr>
                    <w:webHidden/>
                  </w:rPr>
                  <w:tab/>
                </w:r>
                <w:r>
                  <w:rPr>
                    <w:webHidden/>
                  </w:rPr>
                  <w:fldChar w:fldCharType="begin"/>
                </w:r>
                <w:r>
                  <w:rPr>
                    <w:webHidden/>
                  </w:rPr>
                  <w:instrText xml:space="preserve"> PAGEREF _Toc187072928 \h </w:instrText>
                </w:r>
                <w:r>
                  <w:rPr>
                    <w:webHidden/>
                  </w:rPr>
                </w:r>
                <w:r>
                  <w:rPr>
                    <w:webHidden/>
                  </w:rPr>
                  <w:fldChar w:fldCharType="separate"/>
                </w:r>
                <w:r w:rsidR="005D10BF">
                  <w:rPr>
                    <w:webHidden/>
                  </w:rPr>
                  <w:t>19</w:t>
                </w:r>
                <w:r>
                  <w:rPr>
                    <w:webHidden/>
                  </w:rPr>
                  <w:fldChar w:fldCharType="end"/>
                </w:r>
              </w:hyperlink>
            </w:p>
            <w:p w14:paraId="5EA63726" w14:textId="67FCD2BE"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29" w:history="1">
                <w:r w:rsidRPr="00315586">
                  <w:rPr>
                    <w:rStyle w:val="Hyperlink"/>
                    <w:highlight w:val="cyan"/>
                  </w:rPr>
                  <w:t>1.24 Bei Veröffentlichung von Ergebnissen der Emissionsüberwachung Betriebs- und Geschäftsgeheimnisse berücksichtigen (§ 31 Abs. 5 BImSchG)</w:t>
                </w:r>
                <w:r>
                  <w:rPr>
                    <w:webHidden/>
                  </w:rPr>
                  <w:tab/>
                </w:r>
                <w:r>
                  <w:rPr>
                    <w:webHidden/>
                  </w:rPr>
                  <w:fldChar w:fldCharType="begin"/>
                </w:r>
                <w:r>
                  <w:rPr>
                    <w:webHidden/>
                  </w:rPr>
                  <w:instrText xml:space="preserve"> PAGEREF _Toc187072929 \h </w:instrText>
                </w:r>
                <w:r>
                  <w:rPr>
                    <w:webHidden/>
                  </w:rPr>
                </w:r>
                <w:r>
                  <w:rPr>
                    <w:webHidden/>
                  </w:rPr>
                  <w:fldChar w:fldCharType="separate"/>
                </w:r>
                <w:r w:rsidR="005D10BF">
                  <w:rPr>
                    <w:webHidden/>
                  </w:rPr>
                  <w:t>20</w:t>
                </w:r>
                <w:r>
                  <w:rPr>
                    <w:webHidden/>
                  </w:rPr>
                  <w:fldChar w:fldCharType="end"/>
                </w:r>
              </w:hyperlink>
            </w:p>
            <w:p w14:paraId="299E8A51" w14:textId="1793E8B1"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30" w:history="1">
                <w:r w:rsidRPr="00315586">
                  <w:rPr>
                    <w:rStyle w:val="Hyperlink"/>
                  </w:rPr>
                  <w:t>1.25 Regelungen zu Ausnahmen und Industrieller Transformation ergänzen  (§ 48 BImSchG)</w:t>
                </w:r>
                <w:r>
                  <w:rPr>
                    <w:webHidden/>
                  </w:rPr>
                  <w:tab/>
                </w:r>
                <w:r>
                  <w:rPr>
                    <w:webHidden/>
                  </w:rPr>
                  <w:fldChar w:fldCharType="begin"/>
                </w:r>
                <w:r>
                  <w:rPr>
                    <w:webHidden/>
                  </w:rPr>
                  <w:instrText xml:space="preserve"> PAGEREF _Toc187072930 \h </w:instrText>
                </w:r>
                <w:r>
                  <w:rPr>
                    <w:webHidden/>
                  </w:rPr>
                </w:r>
                <w:r>
                  <w:rPr>
                    <w:webHidden/>
                  </w:rPr>
                  <w:fldChar w:fldCharType="separate"/>
                </w:r>
                <w:r w:rsidR="005D10BF">
                  <w:rPr>
                    <w:webHidden/>
                  </w:rPr>
                  <w:t>21</w:t>
                </w:r>
                <w:r>
                  <w:rPr>
                    <w:webHidden/>
                  </w:rPr>
                  <w:fldChar w:fldCharType="end"/>
                </w:r>
              </w:hyperlink>
            </w:p>
            <w:p w14:paraId="422D1347" w14:textId="182FA222"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31" w:history="1">
                <w:r w:rsidRPr="00315586">
                  <w:rPr>
                    <w:rStyle w:val="Hyperlink"/>
                  </w:rPr>
                  <w:t>1.26 Verschärfung der Bußgeldvorschrift streichen (§ 62 Absatz 5 BImSchG)</w:t>
                </w:r>
                <w:r>
                  <w:rPr>
                    <w:webHidden/>
                  </w:rPr>
                  <w:tab/>
                </w:r>
                <w:r>
                  <w:rPr>
                    <w:webHidden/>
                  </w:rPr>
                  <w:fldChar w:fldCharType="begin"/>
                </w:r>
                <w:r>
                  <w:rPr>
                    <w:webHidden/>
                  </w:rPr>
                  <w:instrText xml:space="preserve"> PAGEREF _Toc187072931 \h </w:instrText>
                </w:r>
                <w:r>
                  <w:rPr>
                    <w:webHidden/>
                  </w:rPr>
                </w:r>
                <w:r>
                  <w:rPr>
                    <w:webHidden/>
                  </w:rPr>
                  <w:fldChar w:fldCharType="separate"/>
                </w:r>
                <w:r w:rsidR="005D10BF">
                  <w:rPr>
                    <w:webHidden/>
                  </w:rPr>
                  <w:t>21</w:t>
                </w:r>
                <w:r>
                  <w:rPr>
                    <w:webHidden/>
                  </w:rPr>
                  <w:fldChar w:fldCharType="end"/>
                </w:r>
              </w:hyperlink>
            </w:p>
            <w:p w14:paraId="56495A11" w14:textId="1A836AAA"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32" w:history="1">
                <w:r w:rsidRPr="00315586">
                  <w:rPr>
                    <w:rStyle w:val="Hyperlink"/>
                  </w:rPr>
                  <w:t>1.27 Übergangsvorschriften erweitern (§ 67 Absatz 10 BImSchG)</w:t>
                </w:r>
                <w:r>
                  <w:rPr>
                    <w:webHidden/>
                  </w:rPr>
                  <w:tab/>
                </w:r>
                <w:r>
                  <w:rPr>
                    <w:webHidden/>
                  </w:rPr>
                  <w:fldChar w:fldCharType="begin"/>
                </w:r>
                <w:r>
                  <w:rPr>
                    <w:webHidden/>
                  </w:rPr>
                  <w:instrText xml:space="preserve"> PAGEREF _Toc187072932 \h </w:instrText>
                </w:r>
                <w:r>
                  <w:rPr>
                    <w:webHidden/>
                  </w:rPr>
                </w:r>
                <w:r>
                  <w:rPr>
                    <w:webHidden/>
                  </w:rPr>
                  <w:fldChar w:fldCharType="separate"/>
                </w:r>
                <w:r w:rsidR="005D10BF">
                  <w:rPr>
                    <w:webHidden/>
                  </w:rPr>
                  <w:t>23</w:t>
                </w:r>
                <w:r>
                  <w:rPr>
                    <w:webHidden/>
                  </w:rPr>
                  <w:fldChar w:fldCharType="end"/>
                </w:r>
              </w:hyperlink>
            </w:p>
            <w:p w14:paraId="57111EC2" w14:textId="11B8C3F3"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33" w:history="1">
                <w:r w:rsidRPr="00315586">
                  <w:rPr>
                    <w:rStyle w:val="Hyperlink"/>
                  </w:rPr>
                  <w:t>1.28 Anlage 2</w:t>
                </w:r>
                <w:r>
                  <w:rPr>
                    <w:webHidden/>
                  </w:rPr>
                  <w:tab/>
                </w:r>
                <w:r>
                  <w:rPr>
                    <w:webHidden/>
                  </w:rPr>
                  <w:fldChar w:fldCharType="begin"/>
                </w:r>
                <w:r>
                  <w:rPr>
                    <w:webHidden/>
                  </w:rPr>
                  <w:instrText xml:space="preserve"> PAGEREF _Toc187072933 \h </w:instrText>
                </w:r>
                <w:r>
                  <w:rPr>
                    <w:webHidden/>
                  </w:rPr>
                </w:r>
                <w:r>
                  <w:rPr>
                    <w:webHidden/>
                  </w:rPr>
                  <w:fldChar w:fldCharType="separate"/>
                </w:r>
                <w:r w:rsidR="005D10BF">
                  <w:rPr>
                    <w:webHidden/>
                  </w:rPr>
                  <w:t>23</w:t>
                </w:r>
                <w:r>
                  <w:rPr>
                    <w:webHidden/>
                  </w:rPr>
                  <w:fldChar w:fldCharType="end"/>
                </w:r>
              </w:hyperlink>
            </w:p>
            <w:p w14:paraId="46D5D77C" w14:textId="190077A1"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34" w:history="1">
                <w:r w:rsidRPr="00315586">
                  <w:rPr>
                    <w:rStyle w:val="Hyperlink"/>
                  </w:rPr>
                  <w:t>2.</w:t>
                </w:r>
                <w:r>
                  <w:rPr>
                    <w:rFonts w:asciiTheme="minorHAnsi" w:hAnsiTheme="minorHAnsi" w:cstheme="minorBidi"/>
                    <w:b w:val="0"/>
                    <w:bCs w:val="0"/>
                    <w:color w:val="auto"/>
                    <w:kern w:val="2"/>
                    <w:sz w:val="24"/>
                    <w:lang w:eastAsia="de-DE"/>
                    <w14:ligatures w14:val="standardContextual"/>
                  </w:rPr>
                  <w:tab/>
                </w:r>
                <w:r w:rsidRPr="00315586">
                  <w:rPr>
                    <w:rStyle w:val="Hyperlink"/>
                  </w:rPr>
                  <w:t>Kreislaufwirtschaftsgesetz</w:t>
                </w:r>
                <w:r>
                  <w:rPr>
                    <w:webHidden/>
                  </w:rPr>
                  <w:tab/>
                </w:r>
                <w:r>
                  <w:rPr>
                    <w:webHidden/>
                  </w:rPr>
                  <w:fldChar w:fldCharType="begin"/>
                </w:r>
                <w:r>
                  <w:rPr>
                    <w:webHidden/>
                  </w:rPr>
                  <w:instrText xml:space="preserve"> PAGEREF _Toc187072934 \h </w:instrText>
                </w:r>
                <w:r>
                  <w:rPr>
                    <w:webHidden/>
                  </w:rPr>
                </w:r>
                <w:r>
                  <w:rPr>
                    <w:webHidden/>
                  </w:rPr>
                  <w:fldChar w:fldCharType="separate"/>
                </w:r>
                <w:r w:rsidR="005D10BF">
                  <w:rPr>
                    <w:webHidden/>
                  </w:rPr>
                  <w:t>23</w:t>
                </w:r>
                <w:r>
                  <w:rPr>
                    <w:webHidden/>
                  </w:rPr>
                  <w:fldChar w:fldCharType="end"/>
                </w:r>
              </w:hyperlink>
            </w:p>
            <w:p w14:paraId="14B8962D" w14:textId="30EEED79"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35" w:history="1">
                <w:r w:rsidRPr="00315586">
                  <w:rPr>
                    <w:rStyle w:val="Hyperlink"/>
                  </w:rPr>
                  <w:t>2.1 IED-Pflichten nur für IED-Deponien (§§ 36, 42, 43 Abs. 1 KrWG)</w:t>
                </w:r>
                <w:r>
                  <w:rPr>
                    <w:webHidden/>
                  </w:rPr>
                  <w:tab/>
                </w:r>
                <w:r>
                  <w:rPr>
                    <w:webHidden/>
                  </w:rPr>
                  <w:fldChar w:fldCharType="begin"/>
                </w:r>
                <w:r>
                  <w:rPr>
                    <w:webHidden/>
                  </w:rPr>
                  <w:instrText xml:space="preserve"> PAGEREF _Toc187072935 \h </w:instrText>
                </w:r>
                <w:r>
                  <w:rPr>
                    <w:webHidden/>
                  </w:rPr>
                </w:r>
                <w:r>
                  <w:rPr>
                    <w:webHidden/>
                  </w:rPr>
                  <w:fldChar w:fldCharType="separate"/>
                </w:r>
                <w:r w:rsidR="005D10BF">
                  <w:rPr>
                    <w:webHidden/>
                  </w:rPr>
                  <w:t>23</w:t>
                </w:r>
                <w:r>
                  <w:rPr>
                    <w:webHidden/>
                  </w:rPr>
                  <w:fldChar w:fldCharType="end"/>
                </w:r>
              </w:hyperlink>
            </w:p>
            <w:p w14:paraId="086605EE" w14:textId="30907B2E"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36" w:history="1">
                <w:r w:rsidRPr="00315586">
                  <w:rPr>
                    <w:rStyle w:val="Hyperlink"/>
                    <w:highlight w:val="cyan"/>
                  </w:rPr>
                  <w:t>2.2 Klarstellung hinsichtlich bereits stillgelegter Deponien (§ 40 KrWG)</w:t>
                </w:r>
                <w:r>
                  <w:rPr>
                    <w:webHidden/>
                  </w:rPr>
                  <w:tab/>
                </w:r>
                <w:r>
                  <w:rPr>
                    <w:webHidden/>
                  </w:rPr>
                  <w:fldChar w:fldCharType="begin"/>
                </w:r>
                <w:r>
                  <w:rPr>
                    <w:webHidden/>
                  </w:rPr>
                  <w:instrText xml:space="preserve"> PAGEREF _Toc187072936 \h </w:instrText>
                </w:r>
                <w:r>
                  <w:rPr>
                    <w:webHidden/>
                  </w:rPr>
                </w:r>
                <w:r>
                  <w:rPr>
                    <w:webHidden/>
                  </w:rPr>
                  <w:fldChar w:fldCharType="separate"/>
                </w:r>
                <w:r w:rsidR="005D10BF">
                  <w:rPr>
                    <w:webHidden/>
                  </w:rPr>
                  <w:t>24</w:t>
                </w:r>
                <w:r>
                  <w:rPr>
                    <w:webHidden/>
                  </w:rPr>
                  <w:fldChar w:fldCharType="end"/>
                </w:r>
              </w:hyperlink>
            </w:p>
            <w:p w14:paraId="4CFE3D2C" w14:textId="7157052B"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37" w:history="1">
                <w:r w:rsidRPr="00315586">
                  <w:rPr>
                    <w:rStyle w:val="Hyperlink"/>
                    <w:highlight w:val="cyan"/>
                  </w:rPr>
                  <w:t>2.3 Änderung der Rechtsverordnung innerhalb eines Jahres (§ 43 Abs. 1a KrWG)</w:t>
                </w:r>
                <w:r>
                  <w:rPr>
                    <w:webHidden/>
                  </w:rPr>
                  <w:tab/>
                </w:r>
                <w:r>
                  <w:rPr>
                    <w:webHidden/>
                  </w:rPr>
                  <w:fldChar w:fldCharType="begin"/>
                </w:r>
                <w:r>
                  <w:rPr>
                    <w:webHidden/>
                  </w:rPr>
                  <w:instrText xml:space="preserve"> PAGEREF _Toc187072937 \h </w:instrText>
                </w:r>
                <w:r>
                  <w:rPr>
                    <w:webHidden/>
                  </w:rPr>
                </w:r>
                <w:r>
                  <w:rPr>
                    <w:webHidden/>
                  </w:rPr>
                  <w:fldChar w:fldCharType="separate"/>
                </w:r>
                <w:r w:rsidR="005D10BF">
                  <w:rPr>
                    <w:webHidden/>
                  </w:rPr>
                  <w:t>24</w:t>
                </w:r>
                <w:r>
                  <w:rPr>
                    <w:webHidden/>
                  </w:rPr>
                  <w:fldChar w:fldCharType="end"/>
                </w:r>
              </w:hyperlink>
            </w:p>
            <w:p w14:paraId="507DA649" w14:textId="4796D1F9"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38" w:history="1">
                <w:r w:rsidRPr="00315586">
                  <w:rPr>
                    <w:rStyle w:val="Hyperlink"/>
                  </w:rPr>
                  <w:t>2.4 Ausnahmekatalog vervollständigen: Aufnahme des geografischen Standortes und der lokalen Umweltbedingungen (§ 43 KrWG)</w:t>
                </w:r>
                <w:r>
                  <w:rPr>
                    <w:webHidden/>
                  </w:rPr>
                  <w:tab/>
                </w:r>
                <w:r>
                  <w:rPr>
                    <w:webHidden/>
                  </w:rPr>
                  <w:fldChar w:fldCharType="begin"/>
                </w:r>
                <w:r>
                  <w:rPr>
                    <w:webHidden/>
                  </w:rPr>
                  <w:instrText xml:space="preserve"> PAGEREF _Toc187072938 \h </w:instrText>
                </w:r>
                <w:r>
                  <w:rPr>
                    <w:webHidden/>
                  </w:rPr>
                </w:r>
                <w:r>
                  <w:rPr>
                    <w:webHidden/>
                  </w:rPr>
                  <w:fldChar w:fldCharType="separate"/>
                </w:r>
                <w:r w:rsidR="005D10BF">
                  <w:rPr>
                    <w:webHidden/>
                  </w:rPr>
                  <w:t>24</w:t>
                </w:r>
                <w:r>
                  <w:rPr>
                    <w:webHidden/>
                  </w:rPr>
                  <w:fldChar w:fldCharType="end"/>
                </w:r>
              </w:hyperlink>
            </w:p>
            <w:p w14:paraId="7F612E89" w14:textId="6B80ED90"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39" w:history="1">
                <w:r w:rsidRPr="00315586">
                  <w:rPr>
                    <w:rStyle w:val="Hyperlink"/>
                    <w:highlight w:val="cyan"/>
                  </w:rPr>
                  <w:t>3. Bundesberggesetz</w:t>
                </w:r>
                <w:r>
                  <w:rPr>
                    <w:webHidden/>
                  </w:rPr>
                  <w:tab/>
                </w:r>
                <w:r>
                  <w:rPr>
                    <w:webHidden/>
                  </w:rPr>
                  <w:fldChar w:fldCharType="begin"/>
                </w:r>
                <w:r>
                  <w:rPr>
                    <w:webHidden/>
                  </w:rPr>
                  <w:instrText xml:space="preserve"> PAGEREF _Toc187072939 \h </w:instrText>
                </w:r>
                <w:r>
                  <w:rPr>
                    <w:webHidden/>
                  </w:rPr>
                </w:r>
                <w:r>
                  <w:rPr>
                    <w:webHidden/>
                  </w:rPr>
                  <w:fldChar w:fldCharType="separate"/>
                </w:r>
                <w:r w:rsidR="005D10BF">
                  <w:rPr>
                    <w:webHidden/>
                  </w:rPr>
                  <w:t>25</w:t>
                </w:r>
                <w:r>
                  <w:rPr>
                    <w:webHidden/>
                  </w:rPr>
                  <w:fldChar w:fldCharType="end"/>
                </w:r>
              </w:hyperlink>
            </w:p>
            <w:p w14:paraId="4E432CD0" w14:textId="0151B249"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40" w:history="1">
                <w:r w:rsidRPr="00315586">
                  <w:rPr>
                    <w:rStyle w:val="Hyperlink"/>
                    <w:highlight w:val="cyan"/>
                  </w:rPr>
                  <w:t>3.1 Zulassungsverfahren – Klarstellungen zum Anwendungsbereich (§ 57f Abs. 1 Satz 1 BBergG)</w:t>
                </w:r>
                <w:r>
                  <w:rPr>
                    <w:webHidden/>
                  </w:rPr>
                  <w:tab/>
                </w:r>
                <w:r>
                  <w:rPr>
                    <w:webHidden/>
                  </w:rPr>
                  <w:fldChar w:fldCharType="begin"/>
                </w:r>
                <w:r>
                  <w:rPr>
                    <w:webHidden/>
                  </w:rPr>
                  <w:instrText xml:space="preserve"> PAGEREF _Toc187072940 \h </w:instrText>
                </w:r>
                <w:r>
                  <w:rPr>
                    <w:webHidden/>
                  </w:rPr>
                </w:r>
                <w:r>
                  <w:rPr>
                    <w:webHidden/>
                  </w:rPr>
                  <w:fldChar w:fldCharType="separate"/>
                </w:r>
                <w:r w:rsidR="005D10BF">
                  <w:rPr>
                    <w:webHidden/>
                  </w:rPr>
                  <w:t>25</w:t>
                </w:r>
                <w:r>
                  <w:rPr>
                    <w:webHidden/>
                  </w:rPr>
                  <w:fldChar w:fldCharType="end"/>
                </w:r>
              </w:hyperlink>
            </w:p>
            <w:p w14:paraId="021B08E6" w14:textId="199BC311"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41" w:history="1">
                <w:r w:rsidRPr="00315586">
                  <w:rPr>
                    <w:rStyle w:val="Hyperlink"/>
                    <w:highlight w:val="cyan"/>
                  </w:rPr>
                  <w:t>3.2 Besorgnisgrundsatz überprüfen (§ 57f Abs. 1 Nr. 2 BBergG)</w:t>
                </w:r>
                <w:r>
                  <w:rPr>
                    <w:webHidden/>
                  </w:rPr>
                  <w:tab/>
                </w:r>
                <w:r>
                  <w:rPr>
                    <w:webHidden/>
                  </w:rPr>
                  <w:fldChar w:fldCharType="begin"/>
                </w:r>
                <w:r>
                  <w:rPr>
                    <w:webHidden/>
                  </w:rPr>
                  <w:instrText xml:space="preserve"> PAGEREF _Toc187072941 \h </w:instrText>
                </w:r>
                <w:r>
                  <w:rPr>
                    <w:webHidden/>
                  </w:rPr>
                </w:r>
                <w:r>
                  <w:rPr>
                    <w:webHidden/>
                  </w:rPr>
                  <w:fldChar w:fldCharType="separate"/>
                </w:r>
                <w:r w:rsidR="005D10BF">
                  <w:rPr>
                    <w:webHidden/>
                  </w:rPr>
                  <w:t>25</w:t>
                </w:r>
                <w:r>
                  <w:rPr>
                    <w:webHidden/>
                  </w:rPr>
                  <w:fldChar w:fldCharType="end"/>
                </w:r>
              </w:hyperlink>
            </w:p>
            <w:p w14:paraId="62311128" w14:textId="4C2A00DF"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42" w:history="1">
                <w:r w:rsidRPr="00315586">
                  <w:rPr>
                    <w:rStyle w:val="Hyperlink"/>
                    <w:highlight w:val="cyan"/>
                  </w:rPr>
                  <w:t>3.3 Differenzierung zwischen Betriebsplänen (§ 57f Abs. 2 Nr. 1, 2, 3 BBergG)</w:t>
                </w:r>
                <w:r>
                  <w:rPr>
                    <w:webHidden/>
                  </w:rPr>
                  <w:tab/>
                </w:r>
                <w:r>
                  <w:rPr>
                    <w:webHidden/>
                  </w:rPr>
                  <w:fldChar w:fldCharType="begin"/>
                </w:r>
                <w:r>
                  <w:rPr>
                    <w:webHidden/>
                  </w:rPr>
                  <w:instrText xml:space="preserve"> PAGEREF _Toc187072942 \h </w:instrText>
                </w:r>
                <w:r>
                  <w:rPr>
                    <w:webHidden/>
                  </w:rPr>
                </w:r>
                <w:r>
                  <w:rPr>
                    <w:webHidden/>
                  </w:rPr>
                  <w:fldChar w:fldCharType="separate"/>
                </w:r>
                <w:r w:rsidR="005D10BF">
                  <w:rPr>
                    <w:webHidden/>
                  </w:rPr>
                  <w:t>25</w:t>
                </w:r>
                <w:r>
                  <w:rPr>
                    <w:webHidden/>
                  </w:rPr>
                  <w:fldChar w:fldCharType="end"/>
                </w:r>
              </w:hyperlink>
            </w:p>
            <w:p w14:paraId="0F6C0ED1" w14:textId="28F42686"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43" w:history="1">
                <w:r w:rsidRPr="00315586">
                  <w:rPr>
                    <w:rStyle w:val="Hyperlink"/>
                    <w:highlight w:val="cyan"/>
                  </w:rPr>
                  <w:t>3.4 Stärkung der Digitalisierung im Verfahren (§ 57f Abs. 2 Nr. 4 BBergG)</w:t>
                </w:r>
                <w:r>
                  <w:rPr>
                    <w:webHidden/>
                  </w:rPr>
                  <w:tab/>
                </w:r>
                <w:r>
                  <w:rPr>
                    <w:webHidden/>
                  </w:rPr>
                  <w:fldChar w:fldCharType="begin"/>
                </w:r>
                <w:r>
                  <w:rPr>
                    <w:webHidden/>
                  </w:rPr>
                  <w:instrText xml:space="preserve"> PAGEREF _Toc187072943 \h </w:instrText>
                </w:r>
                <w:r>
                  <w:rPr>
                    <w:webHidden/>
                  </w:rPr>
                </w:r>
                <w:r>
                  <w:rPr>
                    <w:webHidden/>
                  </w:rPr>
                  <w:fldChar w:fldCharType="separate"/>
                </w:r>
                <w:r w:rsidR="005D10BF">
                  <w:rPr>
                    <w:webHidden/>
                  </w:rPr>
                  <w:t>25</w:t>
                </w:r>
                <w:r>
                  <w:rPr>
                    <w:webHidden/>
                  </w:rPr>
                  <w:fldChar w:fldCharType="end"/>
                </w:r>
              </w:hyperlink>
            </w:p>
            <w:p w14:paraId="3F8125E4" w14:textId="17B00B16"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44" w:history="1">
                <w:r w:rsidRPr="00315586">
                  <w:rPr>
                    <w:rStyle w:val="Hyperlink"/>
                    <w:highlight w:val="cyan"/>
                  </w:rPr>
                  <w:t>3.5 Keine Anwendung der IED auf stillgelegte Bergwerke (§ 167a BBergG)</w:t>
                </w:r>
                <w:r>
                  <w:rPr>
                    <w:webHidden/>
                  </w:rPr>
                  <w:tab/>
                </w:r>
                <w:r>
                  <w:rPr>
                    <w:webHidden/>
                  </w:rPr>
                  <w:fldChar w:fldCharType="begin"/>
                </w:r>
                <w:r>
                  <w:rPr>
                    <w:webHidden/>
                  </w:rPr>
                  <w:instrText xml:space="preserve"> PAGEREF _Toc187072944 \h </w:instrText>
                </w:r>
                <w:r>
                  <w:rPr>
                    <w:webHidden/>
                  </w:rPr>
                </w:r>
                <w:r>
                  <w:rPr>
                    <w:webHidden/>
                  </w:rPr>
                  <w:fldChar w:fldCharType="separate"/>
                </w:r>
                <w:r w:rsidR="005D10BF">
                  <w:rPr>
                    <w:webHidden/>
                  </w:rPr>
                  <w:t>26</w:t>
                </w:r>
                <w:r>
                  <w:rPr>
                    <w:webHidden/>
                  </w:rPr>
                  <w:fldChar w:fldCharType="end"/>
                </w:r>
              </w:hyperlink>
            </w:p>
            <w:p w14:paraId="58977DFC" w14:textId="166DAFC7" w:rsidR="00AF2887" w:rsidRDefault="00AF2887">
              <w:pPr>
                <w:pStyle w:val="Verzeichnis1"/>
                <w:rPr>
                  <w:rFonts w:asciiTheme="minorHAnsi" w:hAnsiTheme="minorHAnsi" w:cstheme="minorBidi"/>
                  <w:b w:val="0"/>
                  <w:bCs w:val="0"/>
                  <w:color w:val="auto"/>
                  <w:kern w:val="2"/>
                  <w:sz w:val="24"/>
                  <w:lang w:eastAsia="de-DE"/>
                  <w14:ligatures w14:val="standardContextual"/>
                </w:rPr>
              </w:pPr>
              <w:hyperlink w:anchor="_Toc187072945" w:history="1">
                <w:r w:rsidRPr="00315586">
                  <w:rPr>
                    <w:rStyle w:val="Hyperlink"/>
                  </w:rPr>
                  <w:t>Impressum</w:t>
                </w:r>
                <w:r>
                  <w:rPr>
                    <w:webHidden/>
                  </w:rPr>
                  <w:tab/>
                </w:r>
                <w:r>
                  <w:rPr>
                    <w:webHidden/>
                  </w:rPr>
                  <w:fldChar w:fldCharType="begin"/>
                </w:r>
                <w:r>
                  <w:rPr>
                    <w:webHidden/>
                  </w:rPr>
                  <w:instrText xml:space="preserve"> PAGEREF _Toc187072945 \h </w:instrText>
                </w:r>
                <w:r>
                  <w:rPr>
                    <w:webHidden/>
                  </w:rPr>
                </w:r>
                <w:r>
                  <w:rPr>
                    <w:webHidden/>
                  </w:rPr>
                  <w:fldChar w:fldCharType="separate"/>
                </w:r>
                <w:r w:rsidR="005D10BF">
                  <w:rPr>
                    <w:webHidden/>
                  </w:rPr>
                  <w:t>27</w:t>
                </w:r>
                <w:r>
                  <w:rPr>
                    <w:webHidden/>
                  </w:rPr>
                  <w:fldChar w:fldCharType="end"/>
                </w:r>
              </w:hyperlink>
            </w:p>
            <w:p w14:paraId="27F81C0E" w14:textId="46C90470" w:rsidR="00921A65" w:rsidRDefault="00F821FC" w:rsidP="006F6B9F">
              <w:pPr>
                <w:spacing w:line="240" w:lineRule="auto"/>
                <w:jc w:val="left"/>
              </w:pPr>
              <w:r w:rsidRPr="000F3145">
                <w:fldChar w:fldCharType="end"/>
              </w:r>
            </w:p>
          </w:sdtContent>
        </w:sdt>
      </w:sdtContent>
    </w:sdt>
    <w:bookmarkStart w:id="6" w:name="_Toc408929843" w:displacedByCustomXml="prev"/>
    <w:bookmarkStart w:id="7" w:name="_Toc408930400" w:displacedByCustomXml="prev"/>
    <w:p w14:paraId="102454CC" w14:textId="77777777" w:rsidR="00065795" w:rsidRDefault="00065795" w:rsidP="00065795">
      <w:pPr>
        <w:pStyle w:val="berschrift1"/>
        <w:ind w:left="720"/>
        <w:rPr>
          <w:lang w:val="de-DE"/>
        </w:rPr>
      </w:pPr>
      <w:bookmarkStart w:id="8" w:name="_Hlk152746448"/>
      <w:bookmarkEnd w:id="7"/>
      <w:bookmarkEnd w:id="6"/>
    </w:p>
    <w:p w14:paraId="10EB2DEF" w14:textId="77777777" w:rsidR="00065795" w:rsidRPr="00065795" w:rsidRDefault="00065795" w:rsidP="00065795">
      <w:pPr>
        <w:rPr>
          <w:lang w:val="de-DE"/>
        </w:rPr>
      </w:pPr>
    </w:p>
    <w:p w14:paraId="118C0708" w14:textId="77777777" w:rsidR="00517773" w:rsidRDefault="00517773">
      <w:pPr>
        <w:spacing w:after="160"/>
        <w:ind w:left="2160"/>
        <w:jc w:val="left"/>
        <w:rPr>
          <w:rFonts w:eastAsiaTheme="majorEastAsia" w:cstheme="majorBidi"/>
          <w:b/>
          <w:color w:val="009EE0" w:themeColor="text2"/>
          <w:sz w:val="24"/>
          <w:szCs w:val="32"/>
          <w:lang w:val="de-DE"/>
        </w:rPr>
      </w:pPr>
      <w:r>
        <w:rPr>
          <w:lang w:val="de-DE"/>
        </w:rPr>
        <w:br w:type="page"/>
      </w:r>
    </w:p>
    <w:p w14:paraId="4E91923C" w14:textId="582EAC12" w:rsidR="00945C1F" w:rsidRPr="00D77F1D" w:rsidRDefault="005901E1" w:rsidP="00F03B6F">
      <w:pPr>
        <w:pStyle w:val="berschrift1"/>
        <w:numPr>
          <w:ilvl w:val="0"/>
          <w:numId w:val="6"/>
        </w:numPr>
        <w:rPr>
          <w:lang w:val="de-DE"/>
        </w:rPr>
      </w:pPr>
      <w:bookmarkStart w:id="9" w:name="_Toc187072902"/>
      <w:r w:rsidRPr="00D77F1D">
        <w:rPr>
          <w:lang w:val="de-DE"/>
        </w:rPr>
        <w:lastRenderedPageBreak/>
        <w:t>BImSchG</w:t>
      </w:r>
      <w:bookmarkEnd w:id="9"/>
      <w:r w:rsidR="00945C1F" w:rsidRPr="00D77F1D">
        <w:rPr>
          <w:lang w:val="de-DE"/>
        </w:rPr>
        <w:t xml:space="preserve"> </w:t>
      </w:r>
    </w:p>
    <w:p w14:paraId="65D61711" w14:textId="290B1CA2" w:rsidR="00945FA1" w:rsidRDefault="00F007A7" w:rsidP="00945FA1">
      <w:pPr>
        <w:pStyle w:val="berschrift1"/>
        <w:rPr>
          <w:lang w:val="de-DE"/>
        </w:rPr>
      </w:pPr>
      <w:bookmarkStart w:id="10" w:name="_Toc187072903"/>
      <w:r>
        <w:rPr>
          <w:lang w:val="de-DE"/>
        </w:rPr>
        <w:t>1</w:t>
      </w:r>
      <w:r w:rsidR="00945FA1">
        <w:rPr>
          <w:lang w:val="de-DE"/>
        </w:rPr>
        <w:t xml:space="preserve">.1 </w:t>
      </w:r>
      <w:r w:rsidR="002F645D" w:rsidRPr="002F645D">
        <w:rPr>
          <w:lang w:val="de-DE"/>
        </w:rPr>
        <w:t>Änderung der Zweckbestimmung auf IED-Anlagen beschränken</w:t>
      </w:r>
      <w:r w:rsidR="000F5724">
        <w:rPr>
          <w:lang w:val="de-DE"/>
        </w:rPr>
        <w:t xml:space="preserve"> (§ 1 Abs. 2 BImSchG)</w:t>
      </w:r>
      <w:bookmarkEnd w:id="10"/>
      <w:r w:rsidR="002F645D" w:rsidRPr="002F645D">
        <w:rPr>
          <w:lang w:val="de-DE"/>
        </w:rPr>
        <w:t xml:space="preserve"> </w:t>
      </w:r>
    </w:p>
    <w:p w14:paraId="20ACCFDD" w14:textId="31D5E0CB" w:rsidR="00E83456" w:rsidRDefault="00FA516F" w:rsidP="00EA4CB5">
      <w:pPr>
        <w:rPr>
          <w:lang w:val="de-DE"/>
        </w:rPr>
      </w:pPr>
      <w:r>
        <w:rPr>
          <w:lang w:val="de-DE"/>
        </w:rPr>
        <w:t xml:space="preserve">Der Zweck des BImSchG </w:t>
      </w:r>
      <w:r w:rsidR="007645FB">
        <w:rPr>
          <w:lang w:val="de-DE"/>
        </w:rPr>
        <w:t>in § 1 sollte nicht für alle genehmigungsbedürftigen Anlagen, sondern nur für IED-Anlagen erweitert werden</w:t>
      </w:r>
      <w:r w:rsidR="00B67855">
        <w:rPr>
          <w:lang w:val="de-DE"/>
        </w:rPr>
        <w:t>, um nicht über eine 1:1-Umsetzung</w:t>
      </w:r>
      <w:r w:rsidR="00066DF4">
        <w:rPr>
          <w:lang w:val="de-DE"/>
        </w:rPr>
        <w:t xml:space="preserve"> </w:t>
      </w:r>
      <w:r w:rsidR="00B67855">
        <w:rPr>
          <w:lang w:val="de-DE"/>
        </w:rPr>
        <w:t>der IED hinauszugehen.</w:t>
      </w:r>
    </w:p>
    <w:p w14:paraId="13C1A77C" w14:textId="588CE80B" w:rsidR="00EA4CB5" w:rsidRPr="00EA4CB5" w:rsidRDefault="00EA4CB5" w:rsidP="00EA4CB5">
      <w:pPr>
        <w:rPr>
          <w:lang w:val="de-DE"/>
        </w:rPr>
      </w:pPr>
      <w:r w:rsidRPr="00EA4CB5">
        <w:rPr>
          <w:lang w:val="de-DE"/>
        </w:rPr>
        <w:t xml:space="preserve">In § 1 Abs. 2 BImSchG </w:t>
      </w:r>
      <w:r w:rsidR="00E83456">
        <w:rPr>
          <w:lang w:val="de-DE"/>
        </w:rPr>
        <w:t xml:space="preserve">des Entwurfes </w:t>
      </w:r>
      <w:r w:rsidRPr="00EA4CB5">
        <w:rPr>
          <w:lang w:val="de-DE"/>
        </w:rPr>
        <w:t>wird die Zweckbestimmung des BImSchG geändert. Ausweislich der Begründung soll damit Art. 1 Abs. 2 IED in deutsches Recht umgesetzt werden.</w:t>
      </w:r>
    </w:p>
    <w:p w14:paraId="0742F2DA" w14:textId="77777777" w:rsidR="00EA4CB5" w:rsidRPr="00EA4CB5" w:rsidRDefault="00EA4CB5" w:rsidP="00EA4CB5">
      <w:pPr>
        <w:rPr>
          <w:lang w:val="de-DE"/>
        </w:rPr>
      </w:pPr>
      <w:r w:rsidRPr="00EA4CB5">
        <w:rPr>
          <w:lang w:val="de-DE"/>
        </w:rPr>
        <w:t xml:space="preserve">Dies ist </w:t>
      </w:r>
      <w:r w:rsidRPr="00EA4CB5">
        <w:rPr>
          <w:b/>
          <w:bCs/>
          <w:lang w:val="de-DE"/>
        </w:rPr>
        <w:t>keine 1:1 Umsetzung der IED</w:t>
      </w:r>
      <w:r w:rsidRPr="00EA4CB5">
        <w:rPr>
          <w:lang w:val="de-DE"/>
        </w:rPr>
        <w:t xml:space="preserve">. Für eine korrekte 1:1 Umsetzung ist der </w:t>
      </w:r>
      <w:r w:rsidRPr="002F645D">
        <w:rPr>
          <w:b/>
          <w:bCs/>
          <w:lang w:val="de-DE"/>
        </w:rPr>
        <w:t>gesamte § 1 Abs. 2 auf Anlagen nach der IED zu beschränken.</w:t>
      </w:r>
      <w:r w:rsidRPr="00EA4CB5">
        <w:rPr>
          <w:lang w:val="de-DE"/>
        </w:rPr>
        <w:t xml:space="preserve"> Damit wird zugleich auch die fehlerhafte Umsetzung der IED aus dem Jahr 2013 korrigiert.</w:t>
      </w:r>
    </w:p>
    <w:p w14:paraId="2E6B4E84" w14:textId="35BDD96B" w:rsidR="00EA4CB5" w:rsidRPr="00C34D56" w:rsidRDefault="00EA4CB5" w:rsidP="00C34D56">
      <w:pPr>
        <w:pStyle w:val="Listenabsatz"/>
        <w:numPr>
          <w:ilvl w:val="0"/>
          <w:numId w:val="19"/>
        </w:numPr>
        <w:rPr>
          <w:lang w:val="de-DE"/>
        </w:rPr>
      </w:pPr>
      <w:r w:rsidRPr="00C34D56">
        <w:rPr>
          <w:lang w:val="de-DE"/>
        </w:rPr>
        <w:t>§ 1 Absatz 2 sollte daher wie folgt geändert werden:</w:t>
      </w:r>
    </w:p>
    <w:p w14:paraId="3A7D04C9" w14:textId="06D734DB" w:rsidR="00C34D56" w:rsidRDefault="00EA4CB5" w:rsidP="00C34D56">
      <w:pPr>
        <w:ind w:left="708" w:firstLine="12"/>
        <w:rPr>
          <w:i/>
          <w:iCs/>
          <w:lang w:val="de-DE"/>
        </w:rPr>
      </w:pPr>
      <w:r w:rsidRPr="001673FA">
        <w:rPr>
          <w:i/>
          <w:iCs/>
          <w:lang w:val="de-DE"/>
        </w:rPr>
        <w:t xml:space="preserve">„Soweit es sich um </w:t>
      </w:r>
      <w:r w:rsidR="00307789" w:rsidRPr="001673FA">
        <w:rPr>
          <w:b/>
          <w:bCs/>
          <w:i/>
          <w:iCs/>
          <w:strike/>
          <w:lang w:val="de-DE"/>
        </w:rPr>
        <w:t>genehmigungsbedürftige</w:t>
      </w:r>
      <w:r w:rsidR="00307789" w:rsidRPr="001673FA">
        <w:rPr>
          <w:i/>
          <w:iCs/>
          <w:lang w:val="de-DE"/>
        </w:rPr>
        <w:t xml:space="preserve"> </w:t>
      </w:r>
      <w:r w:rsidRPr="001673FA">
        <w:rPr>
          <w:i/>
          <w:iCs/>
          <w:lang w:val="de-DE"/>
        </w:rPr>
        <w:t xml:space="preserve">Anlagen </w:t>
      </w:r>
      <w:r w:rsidRPr="001673FA">
        <w:rPr>
          <w:b/>
          <w:bCs/>
          <w:i/>
          <w:iCs/>
          <w:lang w:val="de-DE"/>
        </w:rPr>
        <w:t>nach der Industrieemissions-Richtlinie</w:t>
      </w:r>
      <w:r w:rsidRPr="001673FA">
        <w:rPr>
          <w:i/>
          <w:iCs/>
          <w:lang w:val="de-DE"/>
        </w:rPr>
        <w:t xml:space="preserve"> handelt, dient dieses Gesetz auch</w:t>
      </w:r>
      <w:r w:rsidR="001673FA">
        <w:rPr>
          <w:i/>
          <w:iCs/>
          <w:lang w:val="de-DE"/>
        </w:rPr>
        <w:t>…</w:t>
      </w:r>
      <w:r w:rsidRPr="001673FA">
        <w:rPr>
          <w:i/>
          <w:iCs/>
          <w:lang w:val="de-DE"/>
        </w:rPr>
        <w:t>“</w:t>
      </w:r>
    </w:p>
    <w:p w14:paraId="1624FF03" w14:textId="0C50C97B" w:rsidR="0099113D" w:rsidRPr="00D079AC" w:rsidRDefault="0099113D" w:rsidP="0099113D">
      <w:pPr>
        <w:pStyle w:val="Listenabsatz"/>
        <w:numPr>
          <w:ilvl w:val="0"/>
          <w:numId w:val="19"/>
        </w:numPr>
        <w:rPr>
          <w:highlight w:val="cyan"/>
          <w:lang w:val="de-DE"/>
        </w:rPr>
      </w:pPr>
      <w:r w:rsidRPr="00D079AC">
        <w:rPr>
          <w:highlight w:val="cyan"/>
          <w:lang w:val="de-DE"/>
        </w:rPr>
        <w:t>Zudem sollte der Richtlinientext (Art. 1 Abs. 2 IED) korrekt umgesetzt werden. Daher sollte die Formulierung wie folgt lauten:</w:t>
      </w:r>
    </w:p>
    <w:p w14:paraId="487D9245" w14:textId="12AC0153" w:rsidR="00C34D56" w:rsidRPr="001673FA" w:rsidRDefault="0099113D" w:rsidP="0099113D">
      <w:pPr>
        <w:ind w:left="708" w:firstLine="12"/>
        <w:rPr>
          <w:i/>
          <w:iCs/>
          <w:lang w:val="de-DE"/>
        </w:rPr>
      </w:pPr>
      <w:proofErr w:type="gramStart"/>
      <w:r w:rsidRPr="00D079AC">
        <w:rPr>
          <w:i/>
          <w:iCs/>
          <w:highlight w:val="cyan"/>
          <w:lang w:val="de-DE"/>
        </w:rPr>
        <w:t>„ -</w:t>
      </w:r>
      <w:proofErr w:type="gramEnd"/>
      <w:r w:rsidRPr="00D079AC">
        <w:rPr>
          <w:i/>
          <w:iCs/>
          <w:highlight w:val="cyan"/>
          <w:lang w:val="de-DE"/>
        </w:rPr>
        <w:t xml:space="preserve"> der integrierten Vermeidung und</w:t>
      </w:r>
      <w:r w:rsidRPr="00D079AC">
        <w:rPr>
          <w:b/>
          <w:bCs/>
          <w:i/>
          <w:iCs/>
          <w:highlight w:val="cyan"/>
          <w:lang w:val="de-DE"/>
        </w:rPr>
        <w:t>, sofern dies nicht möglich ist,</w:t>
      </w:r>
      <w:r w:rsidRPr="00D079AC">
        <w:rPr>
          <w:i/>
          <w:iCs/>
          <w:highlight w:val="cyan"/>
          <w:lang w:val="de-DE"/>
        </w:rPr>
        <w:t xml:space="preserve"> der kontinuierlichen Verminderung…“</w:t>
      </w:r>
    </w:p>
    <w:p w14:paraId="4F880F87" w14:textId="4B4A79AA" w:rsidR="00945FA1" w:rsidRDefault="00F007A7" w:rsidP="00945FA1">
      <w:pPr>
        <w:pStyle w:val="berschrift1"/>
        <w:rPr>
          <w:lang w:val="de-DE"/>
        </w:rPr>
      </w:pPr>
      <w:bookmarkStart w:id="11" w:name="_Toc187072904"/>
      <w:r>
        <w:rPr>
          <w:lang w:val="de-DE"/>
        </w:rPr>
        <w:t>1</w:t>
      </w:r>
      <w:r w:rsidR="00945FA1">
        <w:rPr>
          <w:lang w:val="de-DE"/>
        </w:rPr>
        <w:t>.2</w:t>
      </w:r>
      <w:r w:rsidR="00945FA1" w:rsidRPr="00091C0D">
        <w:rPr>
          <w:lang w:val="de-DE"/>
        </w:rPr>
        <w:t xml:space="preserve"> </w:t>
      </w:r>
      <w:r w:rsidR="0026095B" w:rsidRPr="0026095B">
        <w:rPr>
          <w:lang w:val="de-DE"/>
        </w:rPr>
        <w:t>Umweltvergleichswerte und Umweltleistungsrichtwerte nicht in das Umweltmanagementsystem aufnehmen</w:t>
      </w:r>
      <w:r w:rsidR="0050040E">
        <w:rPr>
          <w:lang w:val="de-DE"/>
        </w:rPr>
        <w:t xml:space="preserve"> (</w:t>
      </w:r>
      <w:r w:rsidR="00F118F6">
        <w:rPr>
          <w:lang w:val="de-DE"/>
        </w:rPr>
        <w:t xml:space="preserve">§ 3 </w:t>
      </w:r>
      <w:r w:rsidR="00D61316">
        <w:rPr>
          <w:lang w:val="de-DE"/>
        </w:rPr>
        <w:t>Abs. 6h und 6i</w:t>
      </w:r>
      <w:r w:rsidR="00847898">
        <w:rPr>
          <w:lang w:val="de-DE"/>
        </w:rPr>
        <w:t xml:space="preserve"> </w:t>
      </w:r>
      <w:r w:rsidR="00F118F6">
        <w:rPr>
          <w:lang w:val="de-DE"/>
        </w:rPr>
        <w:t>BImSchG</w:t>
      </w:r>
      <w:r w:rsidR="0050040E">
        <w:rPr>
          <w:lang w:val="de-DE"/>
        </w:rPr>
        <w:t>)</w:t>
      </w:r>
      <w:bookmarkEnd w:id="11"/>
      <w:r w:rsidR="00945FA1" w:rsidRPr="003C73B0">
        <w:rPr>
          <w:lang w:val="de-DE"/>
        </w:rPr>
        <w:t xml:space="preserve"> </w:t>
      </w:r>
    </w:p>
    <w:p w14:paraId="58473AEE" w14:textId="493EB42F" w:rsidR="00BB30E0" w:rsidRPr="0035622F" w:rsidRDefault="00BB30E0" w:rsidP="00F118F6">
      <w:pPr>
        <w:spacing w:after="160"/>
        <w:jc w:val="left"/>
        <w:rPr>
          <w:lang w:val="de-DE" w:bidi="en-US"/>
        </w:rPr>
      </w:pPr>
      <w:r>
        <w:rPr>
          <w:lang w:val="de-DE" w:bidi="en-US"/>
        </w:rPr>
        <w:t xml:space="preserve">In den </w:t>
      </w:r>
      <w:r w:rsidR="001A4936" w:rsidRPr="0035622F">
        <w:rPr>
          <w:lang w:val="de-DE" w:bidi="en-US"/>
        </w:rPr>
        <w:t>D</w:t>
      </w:r>
      <w:r w:rsidRPr="0035622F">
        <w:rPr>
          <w:lang w:val="de-DE" w:bidi="en-US"/>
        </w:rPr>
        <w:t>efinitionen</w:t>
      </w:r>
      <w:r w:rsidR="001A4936" w:rsidRPr="0035622F">
        <w:rPr>
          <w:lang w:val="de-DE" w:bidi="en-US"/>
        </w:rPr>
        <w:t xml:space="preserve"> von Umweltvergleichswerten und Umweltleistungsrichtwerten soll</w:t>
      </w:r>
      <w:r w:rsidR="00101F6B">
        <w:rPr>
          <w:lang w:val="de-DE" w:bidi="en-US"/>
        </w:rPr>
        <w:t>te</w:t>
      </w:r>
      <w:r w:rsidR="001A4936" w:rsidRPr="0035622F">
        <w:rPr>
          <w:lang w:val="de-DE" w:bidi="en-US"/>
        </w:rPr>
        <w:t xml:space="preserve"> kein Verweis auf das Umweltmanagementsystem erfolgen.  </w:t>
      </w:r>
    </w:p>
    <w:p w14:paraId="29FE791A" w14:textId="658BD648" w:rsidR="001A4936" w:rsidRPr="0035622F" w:rsidRDefault="001A4936" w:rsidP="00F118F6">
      <w:pPr>
        <w:spacing w:after="160"/>
        <w:jc w:val="left"/>
        <w:rPr>
          <w:lang w:val="de-DE" w:bidi="en-US"/>
        </w:rPr>
      </w:pPr>
      <w:r w:rsidRPr="0035622F">
        <w:rPr>
          <w:lang w:val="de-DE" w:bidi="en-US"/>
        </w:rPr>
        <w:t xml:space="preserve">Zum einen sollte in einer Definition rechtstechnisch </w:t>
      </w:r>
      <w:r w:rsidR="00601C88" w:rsidRPr="0035622F">
        <w:rPr>
          <w:lang w:val="de-DE" w:bidi="en-US"/>
        </w:rPr>
        <w:t xml:space="preserve">nur eine Definition der entsprechenden Begriffe erfolgen und </w:t>
      </w:r>
      <w:r w:rsidRPr="0035622F">
        <w:rPr>
          <w:lang w:val="de-DE" w:bidi="en-US"/>
        </w:rPr>
        <w:t xml:space="preserve">nicht </w:t>
      </w:r>
      <w:r w:rsidR="00601C88" w:rsidRPr="0035622F">
        <w:rPr>
          <w:lang w:val="de-DE" w:bidi="en-US"/>
        </w:rPr>
        <w:t xml:space="preserve">zusätzlich </w:t>
      </w:r>
      <w:r w:rsidRPr="0035622F">
        <w:rPr>
          <w:lang w:val="de-DE" w:bidi="en-US"/>
        </w:rPr>
        <w:t xml:space="preserve">geregelt werden, was Inhalt eines Umweltmanagementsystems (als Gegenstand einer neuen Betreiberpflicht) ist. </w:t>
      </w:r>
    </w:p>
    <w:p w14:paraId="129C0681" w14:textId="3CAB1283" w:rsidR="00895269" w:rsidRDefault="0035622F" w:rsidP="00F118F6">
      <w:pPr>
        <w:spacing w:after="160"/>
        <w:jc w:val="left"/>
        <w:rPr>
          <w:lang w:val="de-DE" w:bidi="en-US"/>
        </w:rPr>
      </w:pPr>
      <w:r w:rsidRPr="0035622F">
        <w:rPr>
          <w:lang w:val="de-DE" w:bidi="en-US"/>
        </w:rPr>
        <w:t xml:space="preserve">Zum anderen sprechen wir uns grundsätzlich dagegen aus, dass </w:t>
      </w:r>
      <w:r w:rsidR="00F118F6" w:rsidRPr="0035622F">
        <w:rPr>
          <w:lang w:val="de-DE" w:bidi="en-US"/>
        </w:rPr>
        <w:t>Umweltvergleichswerte und Umweltleistungsrichtwerte</w:t>
      </w:r>
      <w:r w:rsidR="00F118F6" w:rsidRPr="00F007A7">
        <w:rPr>
          <w:lang w:val="de-DE" w:bidi="en-US"/>
        </w:rPr>
        <w:t xml:space="preserve"> in das Umweltmanagementsystem auf</w:t>
      </w:r>
      <w:r w:rsidR="00895269" w:rsidRPr="00F007A7">
        <w:rPr>
          <w:lang w:val="de-DE" w:bidi="en-US"/>
        </w:rPr>
        <w:t xml:space="preserve">genommen werden. </w:t>
      </w:r>
      <w:r w:rsidR="000E7CA3">
        <w:rPr>
          <w:lang w:val="de-DE" w:bidi="en-US"/>
        </w:rPr>
        <w:t>D</w:t>
      </w:r>
      <w:r w:rsidR="000E7CA3" w:rsidRPr="000E7CA3">
        <w:rPr>
          <w:lang w:val="de-DE" w:bidi="en-US"/>
        </w:rPr>
        <w:t>ie für die Betreiber so entscheidende Rechtssicherheit</w:t>
      </w:r>
      <w:r w:rsidR="000E7CA3">
        <w:rPr>
          <w:lang w:val="de-DE" w:bidi="en-US"/>
        </w:rPr>
        <w:t xml:space="preserve"> </w:t>
      </w:r>
      <w:r w:rsidR="00E6507E">
        <w:rPr>
          <w:lang w:val="de-DE" w:bidi="en-US"/>
        </w:rPr>
        <w:t xml:space="preserve">entsteht nur, wenn die Behörden </w:t>
      </w:r>
      <w:r w:rsidR="002E5064" w:rsidRPr="002E5064">
        <w:rPr>
          <w:lang w:val="de-DE" w:bidi="en-US"/>
        </w:rPr>
        <w:t xml:space="preserve">Umweltleistungswerte in der Genehmigung </w:t>
      </w:r>
      <w:r w:rsidR="00E6507E">
        <w:rPr>
          <w:lang w:val="de-DE" w:bidi="en-US"/>
        </w:rPr>
        <w:t xml:space="preserve">festlegen und nicht bei einer Regelung im Umweltmanagementsystem. </w:t>
      </w:r>
    </w:p>
    <w:p w14:paraId="2487107D" w14:textId="23BF6C91" w:rsidR="00BB30E0" w:rsidRPr="00F007A7" w:rsidRDefault="0035622F" w:rsidP="00F118F6">
      <w:pPr>
        <w:spacing w:after="160"/>
        <w:jc w:val="left"/>
        <w:rPr>
          <w:lang w:val="de-DE" w:bidi="en-US"/>
        </w:rPr>
      </w:pPr>
      <w:r>
        <w:rPr>
          <w:lang w:val="de-DE" w:bidi="en-US"/>
        </w:rPr>
        <w:t>Entsprechend schlagen wir folgende Änderungen in den Definitionen vor:</w:t>
      </w:r>
    </w:p>
    <w:p w14:paraId="76FBE145" w14:textId="50E6988C" w:rsidR="00F42252" w:rsidRPr="00F007A7" w:rsidRDefault="00F118F6" w:rsidP="00F03B6F">
      <w:pPr>
        <w:pStyle w:val="Listenabsatz"/>
        <w:numPr>
          <w:ilvl w:val="0"/>
          <w:numId w:val="9"/>
        </w:numPr>
        <w:spacing w:after="160"/>
        <w:jc w:val="left"/>
        <w:rPr>
          <w:lang w:val="de-DE" w:bidi="en-US"/>
        </w:rPr>
      </w:pPr>
      <w:r w:rsidRPr="00F007A7">
        <w:rPr>
          <w:lang w:val="de-DE" w:bidi="en-US"/>
        </w:rPr>
        <w:t>In § 3 Abs. 6b) Nr. 4 BImSchG</w:t>
      </w:r>
      <w:r w:rsidR="00895269" w:rsidRPr="00F007A7">
        <w:rPr>
          <w:lang w:val="de-DE" w:bidi="en-US"/>
        </w:rPr>
        <w:t xml:space="preserve"> </w:t>
      </w:r>
      <w:r w:rsidR="00F42252" w:rsidRPr="00F007A7">
        <w:rPr>
          <w:lang w:val="de-DE" w:bidi="en-US"/>
        </w:rPr>
        <w:t>sollte</w:t>
      </w:r>
      <w:r w:rsidRPr="00F007A7">
        <w:rPr>
          <w:lang w:val="de-DE" w:bidi="en-US"/>
        </w:rPr>
        <w:t xml:space="preserve"> der Verweis auf die Umweltleistungsvergleichswerte </w:t>
      </w:r>
      <w:r w:rsidR="00F42252" w:rsidRPr="00F007A7">
        <w:rPr>
          <w:lang w:val="de-DE" w:bidi="en-US"/>
        </w:rPr>
        <w:t xml:space="preserve">gestrichen werden: </w:t>
      </w:r>
      <w:r w:rsidR="00F42252" w:rsidRPr="00F007A7">
        <w:rPr>
          <w:lang w:val="de-DE" w:bidi="en-US"/>
        </w:rPr>
        <w:br/>
      </w:r>
      <w:r w:rsidR="00F42252" w:rsidRPr="00F007A7">
        <w:rPr>
          <w:i/>
          <w:iCs/>
          <w:lang w:val="de-DE" w:bidi="en-US"/>
        </w:rPr>
        <w:t>„Nr. 4 den Inhalt des Umweltmanagementsystems</w:t>
      </w:r>
      <w:r w:rsidR="00032F5A" w:rsidRPr="00F007A7">
        <w:rPr>
          <w:i/>
          <w:iCs/>
          <w:lang w:val="de-DE" w:bidi="en-US"/>
        </w:rPr>
        <w:t xml:space="preserve"> </w:t>
      </w:r>
      <w:r w:rsidR="00032F5A" w:rsidRPr="00F007A7">
        <w:rPr>
          <w:b/>
          <w:bCs/>
          <w:i/>
          <w:iCs/>
          <w:strike/>
          <w:lang w:val="de-DE" w:bidi="en-US"/>
        </w:rPr>
        <w:t>einschließlich etwaiger Umweltleistungsvergleichswerte</w:t>
      </w:r>
      <w:r w:rsidR="00032F5A" w:rsidRPr="00F007A7">
        <w:rPr>
          <w:i/>
          <w:iCs/>
          <w:lang w:val="de-DE" w:bidi="en-US"/>
        </w:rPr>
        <w:t>“</w:t>
      </w:r>
    </w:p>
    <w:p w14:paraId="3A6DFCB3" w14:textId="19E37987" w:rsidR="007A5168" w:rsidRPr="00F007A7" w:rsidRDefault="007A5168" w:rsidP="00F03B6F">
      <w:pPr>
        <w:pStyle w:val="Listenabsatz"/>
        <w:numPr>
          <w:ilvl w:val="0"/>
          <w:numId w:val="9"/>
        </w:numPr>
        <w:spacing w:after="160"/>
        <w:jc w:val="left"/>
        <w:rPr>
          <w:lang w:val="de-DE" w:bidi="en-US"/>
        </w:rPr>
      </w:pPr>
      <w:r w:rsidRPr="00F007A7">
        <w:rPr>
          <w:lang w:val="de-DE" w:bidi="en-US"/>
        </w:rPr>
        <w:t>In § 3 Abs. 6h) BImSchG sollte der Verweis auf das Umweltmanagementsystem ebenfalls gestrichen werden</w:t>
      </w:r>
      <w:r w:rsidR="00DF60C2" w:rsidRPr="00F007A7">
        <w:rPr>
          <w:lang w:val="de-DE" w:bidi="en-US"/>
        </w:rPr>
        <w:t>:</w:t>
      </w:r>
      <w:r w:rsidR="00DF60C2" w:rsidRPr="00F007A7">
        <w:rPr>
          <w:i/>
          <w:iCs/>
          <w:lang w:val="de-DE" w:bidi="en-US"/>
        </w:rPr>
        <w:t xml:space="preserve"> „Umweltleistungsrichtwert im Sinne dieses Gesetzes ist ein </w:t>
      </w:r>
      <w:r w:rsidR="00DF60C2" w:rsidRPr="00F007A7">
        <w:rPr>
          <w:i/>
          <w:iCs/>
          <w:lang w:val="de-DE" w:bidi="en-US"/>
        </w:rPr>
        <w:lastRenderedPageBreak/>
        <w:t xml:space="preserve">Richtwert für die Umweltleistung, der für bestimmte Bedingungen in Bezug auf bestimmte spezifische Parameter ausgedrückt </w:t>
      </w:r>
      <w:r w:rsidR="008C2653" w:rsidRPr="00F007A7">
        <w:rPr>
          <w:i/>
          <w:iCs/>
          <w:lang w:val="de-DE" w:bidi="en-US"/>
        </w:rPr>
        <w:t xml:space="preserve">wird </w:t>
      </w:r>
      <w:r w:rsidR="008C2653" w:rsidRPr="00D32295">
        <w:rPr>
          <w:b/>
          <w:bCs/>
          <w:i/>
          <w:iCs/>
          <w:strike/>
          <w:lang w:val="de-DE" w:bidi="en-US"/>
        </w:rPr>
        <w:t>und in das Umweltmanagement aufzunehmen ist</w:t>
      </w:r>
      <w:r w:rsidR="008C2653" w:rsidRPr="00F007A7">
        <w:rPr>
          <w:i/>
          <w:iCs/>
          <w:lang w:val="de-DE" w:bidi="en-US"/>
        </w:rPr>
        <w:t>“</w:t>
      </w:r>
    </w:p>
    <w:p w14:paraId="3AD9ED29" w14:textId="09E12774" w:rsidR="00AD5CD7" w:rsidRPr="001A0C74" w:rsidRDefault="00032F5A" w:rsidP="00F03B6F">
      <w:pPr>
        <w:pStyle w:val="Listenabsatz"/>
        <w:numPr>
          <w:ilvl w:val="0"/>
          <w:numId w:val="9"/>
        </w:numPr>
        <w:spacing w:after="160"/>
        <w:jc w:val="left"/>
        <w:rPr>
          <w:lang w:val="de-DE" w:bidi="en-US"/>
        </w:rPr>
      </w:pPr>
      <w:r w:rsidRPr="00F007A7">
        <w:rPr>
          <w:lang w:val="de-DE" w:bidi="en-US"/>
        </w:rPr>
        <w:t>In</w:t>
      </w:r>
      <w:r w:rsidR="00F118F6" w:rsidRPr="00F007A7">
        <w:rPr>
          <w:lang w:val="de-DE" w:bidi="en-US"/>
        </w:rPr>
        <w:t xml:space="preserve"> § 3 Abs. 6i)</w:t>
      </w:r>
      <w:r w:rsidR="00AD5CD7" w:rsidRPr="00F007A7">
        <w:rPr>
          <w:lang w:val="de-DE" w:bidi="en-US"/>
        </w:rPr>
        <w:t xml:space="preserve"> BImSchG sollte d</w:t>
      </w:r>
      <w:r w:rsidR="00F118F6" w:rsidRPr="00F007A7">
        <w:rPr>
          <w:lang w:val="de-DE" w:bidi="en-US"/>
        </w:rPr>
        <w:t xml:space="preserve">er Verweis auf das Umweltmanagementsystem </w:t>
      </w:r>
      <w:r w:rsidR="008C2653" w:rsidRPr="00F007A7">
        <w:rPr>
          <w:lang w:val="de-DE" w:bidi="en-US"/>
        </w:rPr>
        <w:t>auch</w:t>
      </w:r>
      <w:r w:rsidR="00AD5CD7" w:rsidRPr="00F007A7">
        <w:rPr>
          <w:lang w:val="de-DE" w:bidi="en-US"/>
        </w:rPr>
        <w:t xml:space="preserve"> gestrichen werden:</w:t>
      </w:r>
      <w:r w:rsidR="008C2653" w:rsidRPr="00F007A7">
        <w:rPr>
          <w:lang w:val="de-DE" w:bidi="en-US"/>
        </w:rPr>
        <w:t xml:space="preserve"> </w:t>
      </w:r>
      <w:r w:rsidR="008C2653" w:rsidRPr="00F007A7">
        <w:rPr>
          <w:i/>
          <w:iCs/>
          <w:lang w:val="de-DE" w:bidi="en-US"/>
        </w:rPr>
        <w:t>„Umweltleistungsvergleichswert im Sinne dieses Gesetzes ist die indikative Spanne der mit den besten verfügbaren Techniken assoziierten Umweltleistungswerte</w:t>
      </w:r>
      <w:r w:rsidR="00EC521E" w:rsidRPr="00F007A7">
        <w:rPr>
          <w:i/>
          <w:iCs/>
          <w:lang w:val="de-DE" w:bidi="en-US"/>
        </w:rPr>
        <w:t xml:space="preserve">, </w:t>
      </w:r>
      <w:r w:rsidR="00EC521E" w:rsidRPr="001A33D8">
        <w:rPr>
          <w:b/>
          <w:bCs/>
          <w:i/>
          <w:iCs/>
          <w:strike/>
          <w:lang w:val="de-DE" w:bidi="en-US"/>
        </w:rPr>
        <w:t>die im Umweltmanagementsystem als Referenzwert zu benutzen sind</w:t>
      </w:r>
      <w:r w:rsidR="00EC521E" w:rsidRPr="00F007A7">
        <w:rPr>
          <w:i/>
          <w:iCs/>
          <w:lang w:val="de-DE" w:bidi="en-US"/>
        </w:rPr>
        <w:t>“</w:t>
      </w:r>
    </w:p>
    <w:p w14:paraId="5500E363" w14:textId="1A64E451" w:rsidR="0013443D" w:rsidRPr="0013443D" w:rsidRDefault="001A0C74" w:rsidP="00F03B6F">
      <w:pPr>
        <w:pStyle w:val="Listenabsatz"/>
        <w:numPr>
          <w:ilvl w:val="0"/>
          <w:numId w:val="9"/>
        </w:numPr>
        <w:spacing w:after="160"/>
        <w:jc w:val="left"/>
        <w:rPr>
          <w:highlight w:val="cyan"/>
          <w:lang w:val="de-DE" w:bidi="en-US"/>
        </w:rPr>
      </w:pPr>
      <w:r w:rsidRPr="0013443D">
        <w:rPr>
          <w:highlight w:val="cyan"/>
          <w:lang w:val="de-DE" w:bidi="en-US"/>
        </w:rPr>
        <w:t xml:space="preserve">Zudem sollten grundsätzlich die exakt gleichen Begriffe wie in der IED verwendet werden </w:t>
      </w:r>
      <w:r w:rsidR="0013443D">
        <w:rPr>
          <w:highlight w:val="cyan"/>
          <w:lang w:val="de-DE" w:bidi="en-US"/>
        </w:rPr>
        <w:t>(</w:t>
      </w:r>
      <w:r w:rsidRPr="0013443D">
        <w:rPr>
          <w:highlight w:val="cyan"/>
          <w:lang w:val="de-DE" w:bidi="en-US"/>
        </w:rPr>
        <w:t>Emissionsgrenzwerte / Umweltleistungsgrenzwerte / Grenzwerte für die Umweltleistung in Bezug auf Wasser / Richtwerte für die Umweltleistung von Abfällen und anderen Ressourcen als Wasser</w:t>
      </w:r>
      <w:r w:rsidR="0013443D">
        <w:rPr>
          <w:highlight w:val="cyan"/>
          <w:lang w:val="de-DE" w:bidi="en-US"/>
        </w:rPr>
        <w:t>)</w:t>
      </w:r>
      <w:r w:rsidRPr="0013443D">
        <w:rPr>
          <w:highlight w:val="cyan"/>
          <w:lang w:val="de-DE" w:bidi="en-US"/>
        </w:rPr>
        <w:t xml:space="preserve">. </w:t>
      </w:r>
    </w:p>
    <w:p w14:paraId="2BC77750" w14:textId="1AFC62CC" w:rsidR="001A0C74" w:rsidRPr="0013443D" w:rsidRDefault="001A0C74" w:rsidP="00F03B6F">
      <w:pPr>
        <w:pStyle w:val="Listenabsatz"/>
        <w:numPr>
          <w:ilvl w:val="0"/>
          <w:numId w:val="9"/>
        </w:numPr>
        <w:spacing w:after="160"/>
        <w:jc w:val="left"/>
        <w:rPr>
          <w:highlight w:val="cyan"/>
          <w:lang w:val="de-DE" w:bidi="en-US"/>
        </w:rPr>
      </w:pPr>
      <w:r w:rsidRPr="0013443D">
        <w:rPr>
          <w:highlight w:val="cyan"/>
          <w:lang w:val="de-DE" w:bidi="en-US"/>
        </w:rPr>
        <w:t>Darüber hinaus sollte in den Regelungen klar dargestellt sein, welche Werte als harte verbindliche Werte eingeführt werden und welche Werte indikativ sein sollen.</w:t>
      </w:r>
    </w:p>
    <w:p w14:paraId="7A9C6ADD" w14:textId="3790A459" w:rsidR="00477522" w:rsidRDefault="00F007A7" w:rsidP="00477522">
      <w:pPr>
        <w:pStyle w:val="berschrift1"/>
        <w:rPr>
          <w:lang w:val="de-DE"/>
        </w:rPr>
      </w:pPr>
      <w:bookmarkStart w:id="12" w:name="_Toc187072905"/>
      <w:r>
        <w:rPr>
          <w:lang w:val="de-DE"/>
        </w:rPr>
        <w:t>1</w:t>
      </w:r>
      <w:r w:rsidR="00477522">
        <w:rPr>
          <w:lang w:val="de-DE"/>
        </w:rPr>
        <w:t>.</w:t>
      </w:r>
      <w:r w:rsidR="00965515">
        <w:rPr>
          <w:lang w:val="de-DE"/>
        </w:rPr>
        <w:t>3</w:t>
      </w:r>
      <w:r w:rsidR="00477522" w:rsidRPr="00091C0D">
        <w:rPr>
          <w:lang w:val="de-DE"/>
        </w:rPr>
        <w:t xml:space="preserve"> </w:t>
      </w:r>
      <w:r w:rsidR="00AA7A0D" w:rsidRPr="00AA7A0D">
        <w:rPr>
          <w:lang w:val="de-DE"/>
        </w:rPr>
        <w:t xml:space="preserve">Neue Betreiberpflichten auf IED-Anlagen beschränken </w:t>
      </w:r>
      <w:r w:rsidR="00AA5693">
        <w:rPr>
          <w:lang w:val="de-DE"/>
        </w:rPr>
        <w:t>(</w:t>
      </w:r>
      <w:r w:rsidR="00AA5693" w:rsidRPr="00AA7A0D">
        <w:rPr>
          <w:lang w:val="de-DE"/>
        </w:rPr>
        <w:t>§ 5 Abs. 1 Nr. 4 und Nr. 5</w:t>
      </w:r>
      <w:r w:rsidR="00414BCD">
        <w:rPr>
          <w:lang w:val="de-DE"/>
        </w:rPr>
        <w:t xml:space="preserve"> BImSchG</w:t>
      </w:r>
      <w:r w:rsidR="00AA5693">
        <w:rPr>
          <w:lang w:val="de-DE"/>
        </w:rPr>
        <w:t>)</w:t>
      </w:r>
      <w:bookmarkEnd w:id="12"/>
    </w:p>
    <w:p w14:paraId="24F2FA94" w14:textId="2B0C6BEA" w:rsidR="00414BCD" w:rsidRDefault="00AA5693" w:rsidP="00AA7A0D">
      <w:pPr>
        <w:spacing w:after="160"/>
        <w:jc w:val="left"/>
        <w:rPr>
          <w:lang w:val="de-DE" w:bidi="en-US"/>
        </w:rPr>
      </w:pPr>
      <w:r>
        <w:rPr>
          <w:lang w:val="de-DE" w:bidi="en-US"/>
        </w:rPr>
        <w:t xml:space="preserve">Die in </w:t>
      </w:r>
      <w:r w:rsidR="00AA7A0D" w:rsidRPr="00AA7A0D">
        <w:rPr>
          <w:lang w:val="de-DE" w:bidi="en-US"/>
        </w:rPr>
        <w:t xml:space="preserve">§ 5 Abs. 1 Nr. 4 und Nr. 5 </w:t>
      </w:r>
      <w:r w:rsidR="00414BCD">
        <w:rPr>
          <w:lang w:val="de-DE" w:bidi="en-US"/>
        </w:rPr>
        <w:t>BImSchG neu eingefügten</w:t>
      </w:r>
      <w:r w:rsidR="00AA7A0D" w:rsidRPr="00AA7A0D">
        <w:rPr>
          <w:lang w:val="de-DE" w:bidi="en-US"/>
        </w:rPr>
        <w:t xml:space="preserve"> Betreiberpflichten </w:t>
      </w:r>
      <w:r w:rsidR="00B67855">
        <w:rPr>
          <w:lang w:val="de-DE" w:bidi="en-US"/>
        </w:rPr>
        <w:t xml:space="preserve">sollten </w:t>
      </w:r>
      <w:r w:rsidR="00902704">
        <w:rPr>
          <w:lang w:val="de-DE" w:bidi="en-US"/>
        </w:rPr>
        <w:t xml:space="preserve">auf IED-Anlagen beschränkt werden, um eine </w:t>
      </w:r>
      <w:r w:rsidR="00902704" w:rsidRPr="007F49F7">
        <w:rPr>
          <w:b/>
          <w:bCs/>
          <w:lang w:val="de-DE" w:bidi="en-US"/>
        </w:rPr>
        <w:t>1:1-Umsetzung der IED</w:t>
      </w:r>
      <w:r w:rsidR="00902704">
        <w:rPr>
          <w:lang w:val="de-DE" w:bidi="en-US"/>
        </w:rPr>
        <w:t xml:space="preserve"> zu gewährleisten.</w:t>
      </w:r>
    </w:p>
    <w:p w14:paraId="6F41440B" w14:textId="0F4C48D5" w:rsidR="00AA7A0D" w:rsidRPr="00AA7A0D" w:rsidRDefault="00DA417C" w:rsidP="00F106D9">
      <w:pPr>
        <w:spacing w:after="160"/>
        <w:jc w:val="left"/>
        <w:rPr>
          <w:lang w:val="de-DE" w:bidi="en-US"/>
        </w:rPr>
      </w:pPr>
      <w:r>
        <w:rPr>
          <w:lang w:val="de-DE" w:bidi="en-US"/>
        </w:rPr>
        <w:t xml:space="preserve">Die in § 5 ergänzten Betreiberpflichten dienen der </w:t>
      </w:r>
      <w:r w:rsidR="00AA7A0D" w:rsidRPr="00AA7A0D">
        <w:rPr>
          <w:lang w:val="de-DE" w:bidi="en-US"/>
        </w:rPr>
        <w:t>Umsetzung von Art. 11 Buch</w:t>
      </w:r>
      <w:r>
        <w:rPr>
          <w:lang w:val="de-DE" w:bidi="en-US"/>
        </w:rPr>
        <w:t>s</w:t>
      </w:r>
      <w:r w:rsidR="00AA7A0D" w:rsidRPr="00AA7A0D">
        <w:rPr>
          <w:lang w:val="de-DE" w:bidi="en-US"/>
        </w:rPr>
        <w:t xml:space="preserve">tabe f) und </w:t>
      </w:r>
      <w:proofErr w:type="spellStart"/>
      <w:r w:rsidR="00AA7A0D" w:rsidRPr="00AA7A0D">
        <w:rPr>
          <w:lang w:val="de-DE" w:bidi="en-US"/>
        </w:rPr>
        <w:t>fa</w:t>
      </w:r>
      <w:proofErr w:type="spellEnd"/>
      <w:r w:rsidR="00AA7A0D" w:rsidRPr="00AA7A0D">
        <w:rPr>
          <w:lang w:val="de-DE" w:bidi="en-US"/>
        </w:rPr>
        <w:t>) IED.</w:t>
      </w:r>
      <w:r w:rsidR="00F106D9">
        <w:rPr>
          <w:lang w:val="de-DE" w:bidi="en-US"/>
        </w:rPr>
        <w:t xml:space="preserve"> Eine Ausweitung der Betreiberpflichten auch auf Nicht-IED-Anlagen ist </w:t>
      </w:r>
      <w:r w:rsidR="00AA7A0D" w:rsidRPr="00AA7A0D">
        <w:rPr>
          <w:lang w:val="de-DE" w:bidi="en-US"/>
        </w:rPr>
        <w:t xml:space="preserve">keine 1:1 Umsetzung der IED und sollte geändert werden. </w:t>
      </w:r>
    </w:p>
    <w:p w14:paraId="4A673746" w14:textId="77777777" w:rsidR="0072065E" w:rsidRPr="0072065E" w:rsidRDefault="0072065E" w:rsidP="0072065E">
      <w:pPr>
        <w:spacing w:after="160"/>
        <w:jc w:val="left"/>
        <w:rPr>
          <w:lang w:val="de-DE" w:bidi="en-US"/>
        </w:rPr>
      </w:pPr>
      <w:r w:rsidRPr="0072065E">
        <w:rPr>
          <w:lang w:val="de-DE" w:bidi="en-US"/>
        </w:rPr>
        <w:t xml:space="preserve">Die Betreiberpflichten des BImSchG sollten deutlicher differenzieren zwischen IED-Anlagen und Nicht-IED-Anlagen. Es ist </w:t>
      </w:r>
      <w:r w:rsidRPr="0072065E">
        <w:rPr>
          <w:highlight w:val="cyan"/>
          <w:lang w:val="de-DE" w:bidi="en-US"/>
        </w:rPr>
        <w:t>europarechtlich nicht notwendig, umweltfachlich nicht geboten und nach der Systematik des BImSchG widersprüchlich</w:t>
      </w:r>
      <w:r w:rsidRPr="0072065E">
        <w:rPr>
          <w:lang w:val="de-DE" w:bidi="en-US"/>
        </w:rPr>
        <w:t xml:space="preserve">, jegliche Verschärfungen der Grundpflichten des Betriebs von IED-Anlagen auch auf die Nicht-IED-Anlagen zu erstrecken. </w:t>
      </w:r>
    </w:p>
    <w:p w14:paraId="74C0684B" w14:textId="77777777" w:rsidR="0072065E" w:rsidRPr="0072065E" w:rsidRDefault="0072065E" w:rsidP="0072065E">
      <w:pPr>
        <w:spacing w:after="160"/>
        <w:jc w:val="left"/>
        <w:rPr>
          <w:lang w:val="de-DE" w:bidi="en-US"/>
        </w:rPr>
      </w:pPr>
      <w:r w:rsidRPr="0072065E">
        <w:rPr>
          <w:highlight w:val="cyan"/>
          <w:lang w:val="de-DE" w:bidi="en-US"/>
        </w:rPr>
        <w:t>Die IED erfasst nur ganz bestimmte emissionsintensive und umweltrelevante Anlagen mit genau definierten Kapazitäten. Nur für diese Anlagentypen werden die sehr anspruchsvollen Anforderungen hinsichtlich ihrer Umweltleistung als verhältnismäßig angesehen. Wenn Deutschland diese Anforderungen auch an Nicht-IED Anlagen stellt, würde der Harmonisierungsansatz der IED in Frage gestellt, die deutsche Industrie gegenüber den europäischen Wettbewerbern erhebliche Nachteile haben und ein nicht erforderliches „</w:t>
      </w:r>
      <w:proofErr w:type="spellStart"/>
      <w:r w:rsidRPr="0072065E">
        <w:rPr>
          <w:highlight w:val="cyan"/>
          <w:lang w:val="de-DE" w:bidi="en-US"/>
        </w:rPr>
        <w:t>gold</w:t>
      </w:r>
      <w:proofErr w:type="spellEnd"/>
      <w:r w:rsidRPr="0072065E">
        <w:rPr>
          <w:highlight w:val="cyan"/>
          <w:lang w:val="de-DE" w:bidi="en-US"/>
        </w:rPr>
        <w:t xml:space="preserve"> </w:t>
      </w:r>
      <w:proofErr w:type="spellStart"/>
      <w:r w:rsidRPr="0072065E">
        <w:rPr>
          <w:highlight w:val="cyan"/>
          <w:lang w:val="de-DE" w:bidi="en-US"/>
        </w:rPr>
        <w:t>plating</w:t>
      </w:r>
      <w:proofErr w:type="spellEnd"/>
      <w:r w:rsidRPr="0072065E">
        <w:rPr>
          <w:highlight w:val="cyan"/>
          <w:lang w:val="de-DE" w:bidi="en-US"/>
        </w:rPr>
        <w:t>“ von europäischen Vorgaben erfolgen.</w:t>
      </w:r>
      <w:r w:rsidRPr="0072065E">
        <w:rPr>
          <w:lang w:val="de-DE" w:bidi="en-US"/>
        </w:rPr>
        <w:t xml:space="preserve"> </w:t>
      </w:r>
    </w:p>
    <w:p w14:paraId="605235B9" w14:textId="08144EFA" w:rsidR="00AA7A0D" w:rsidRPr="00AA7A0D" w:rsidRDefault="00AA7A0D" w:rsidP="00AA7A0D">
      <w:pPr>
        <w:spacing w:after="160"/>
        <w:jc w:val="left"/>
        <w:rPr>
          <w:lang w:val="de-DE" w:bidi="en-US"/>
        </w:rPr>
      </w:pPr>
      <w:r w:rsidRPr="00AA7A0D">
        <w:rPr>
          <w:lang w:val="de-DE" w:bidi="en-US"/>
        </w:rPr>
        <w:t xml:space="preserve">Wir schlagen daher vor, in § 5 einen neuen Abs. 1a einzufügen, der die neuen Grundpflichten </w:t>
      </w:r>
      <w:r w:rsidR="00182453" w:rsidRPr="00AA7A0D">
        <w:rPr>
          <w:lang w:val="de-DE" w:bidi="en-US"/>
        </w:rPr>
        <w:t xml:space="preserve">nur für die IED-Anlagen </w:t>
      </w:r>
      <w:r w:rsidRPr="00AA7A0D">
        <w:rPr>
          <w:lang w:val="de-DE" w:bidi="en-US"/>
        </w:rPr>
        <w:t xml:space="preserve">regelt und auch die Grundregelungen zum Umweltmanagementsystem enthält. </w:t>
      </w:r>
    </w:p>
    <w:p w14:paraId="735E88DE" w14:textId="2AF1972E" w:rsidR="00477522" w:rsidRPr="00F31404" w:rsidRDefault="00AA7A0D" w:rsidP="00B7112F">
      <w:pPr>
        <w:spacing w:after="160"/>
        <w:jc w:val="left"/>
        <w:rPr>
          <w:lang w:val="de-DE" w:bidi="en-US"/>
        </w:rPr>
      </w:pPr>
      <w:r w:rsidRPr="00AA7A0D">
        <w:rPr>
          <w:lang w:val="de-DE" w:bidi="en-US"/>
        </w:rPr>
        <w:t>Folgerichtig ist damit in der Verordnungsermächtigung nach § 7 Abs. 1 Nummer 2a und 2b zu differenzieren zwischen IED-Anlagen und sonstigen genehmigungsbedürftigen Anlagen. Zudem darf sich die Änderung in § 7 Abs. 1 Nummer 3 („Umweltleistung“) nur auf IED-Anlagen beziehen.</w:t>
      </w:r>
    </w:p>
    <w:p w14:paraId="0CB599E6" w14:textId="1AFCED70" w:rsidR="00477522" w:rsidRDefault="00F007A7" w:rsidP="00510DDC">
      <w:pPr>
        <w:pStyle w:val="berschrift1"/>
        <w:rPr>
          <w:lang w:val="de-DE"/>
        </w:rPr>
      </w:pPr>
      <w:bookmarkStart w:id="13" w:name="_Toc187072906"/>
      <w:r>
        <w:rPr>
          <w:lang w:val="de-DE"/>
        </w:rPr>
        <w:t>1</w:t>
      </w:r>
      <w:r w:rsidR="00477522">
        <w:rPr>
          <w:lang w:val="de-DE"/>
        </w:rPr>
        <w:t>.</w:t>
      </w:r>
      <w:r w:rsidR="00965515">
        <w:rPr>
          <w:lang w:val="de-DE"/>
        </w:rPr>
        <w:t>4</w:t>
      </w:r>
      <w:r w:rsidR="00477522" w:rsidRPr="00091C0D">
        <w:rPr>
          <w:lang w:val="de-DE"/>
        </w:rPr>
        <w:t xml:space="preserve"> </w:t>
      </w:r>
      <w:r w:rsidR="00510DDC" w:rsidRPr="00510DDC">
        <w:rPr>
          <w:lang w:val="de-DE"/>
        </w:rPr>
        <w:t xml:space="preserve">Umfang des Umweltmanagementsystems an Komplexität der Anlage anpassen </w:t>
      </w:r>
      <w:r w:rsidR="004469DD">
        <w:rPr>
          <w:lang w:val="de-DE"/>
        </w:rPr>
        <w:t>(</w:t>
      </w:r>
      <w:r w:rsidR="004469DD" w:rsidRPr="00510DDC">
        <w:rPr>
          <w:lang w:val="de-DE"/>
        </w:rPr>
        <w:t>§ 5 Abs. 1 Satz 2 (neu) BImSchG</w:t>
      </w:r>
      <w:r w:rsidR="004469DD">
        <w:rPr>
          <w:lang w:val="de-DE"/>
        </w:rPr>
        <w:t>)</w:t>
      </w:r>
      <w:bookmarkEnd w:id="13"/>
    </w:p>
    <w:p w14:paraId="00801353" w14:textId="601EF25E" w:rsidR="00937EF4" w:rsidRPr="00937EF4" w:rsidRDefault="00B658A4" w:rsidP="00937EF4">
      <w:pPr>
        <w:spacing w:after="160"/>
        <w:jc w:val="left"/>
        <w:rPr>
          <w:lang w:val="de-DE" w:bidi="en-US"/>
        </w:rPr>
      </w:pPr>
      <w:r>
        <w:rPr>
          <w:lang w:val="de-DE" w:bidi="en-US"/>
        </w:rPr>
        <w:lastRenderedPageBreak/>
        <w:t xml:space="preserve">In § 5 sollte </w:t>
      </w:r>
      <w:r w:rsidR="003E12EA">
        <w:rPr>
          <w:lang w:val="de-DE" w:bidi="en-US"/>
        </w:rPr>
        <w:t xml:space="preserve">die Regelung </w:t>
      </w:r>
      <w:r w:rsidR="00692DB4">
        <w:rPr>
          <w:lang w:val="de-DE" w:bidi="en-US"/>
        </w:rPr>
        <w:t xml:space="preserve">zum Betrieb des Umweltmanagementsystems </w:t>
      </w:r>
      <w:r w:rsidR="003E12EA" w:rsidRPr="003E12EA">
        <w:rPr>
          <w:lang w:val="de-DE" w:bidi="en-US"/>
        </w:rPr>
        <w:t xml:space="preserve">aus Art. 14a Abs. 3 </w:t>
      </w:r>
      <w:proofErr w:type="spellStart"/>
      <w:r w:rsidR="003E12EA" w:rsidRPr="003E12EA">
        <w:rPr>
          <w:lang w:val="de-DE" w:bidi="en-US"/>
        </w:rPr>
        <w:t>UAbs</w:t>
      </w:r>
      <w:proofErr w:type="spellEnd"/>
      <w:r w:rsidR="00692DB4">
        <w:rPr>
          <w:lang w:val="de-DE" w:bidi="en-US"/>
        </w:rPr>
        <w:t>.</w:t>
      </w:r>
      <w:r w:rsidR="003E12EA" w:rsidRPr="003E12EA">
        <w:rPr>
          <w:lang w:val="de-DE" w:bidi="en-US"/>
        </w:rPr>
        <w:t xml:space="preserve"> 1 IED </w:t>
      </w:r>
      <w:r w:rsidR="00937EF4" w:rsidRPr="00937EF4">
        <w:rPr>
          <w:lang w:val="de-DE" w:bidi="en-US"/>
        </w:rPr>
        <w:t>ergänz</w:t>
      </w:r>
      <w:r w:rsidR="00B91726">
        <w:rPr>
          <w:lang w:val="de-DE" w:bidi="en-US"/>
        </w:rPr>
        <w:t>t werden</w:t>
      </w:r>
      <w:r w:rsidR="00937EF4" w:rsidRPr="00937EF4">
        <w:rPr>
          <w:lang w:val="de-DE" w:bidi="en-US"/>
        </w:rPr>
        <w:t xml:space="preserve">, wonach der Grad der Detailgenauigkeit des Umweltmanagementsystems der Art, dem Umfang und der Komplexität der Anlage sowie ihrer sämtlichen </w:t>
      </w:r>
      <w:r w:rsidR="00402584" w:rsidRPr="00937EF4">
        <w:rPr>
          <w:lang w:val="de-DE" w:bidi="en-US"/>
        </w:rPr>
        <w:t>potenziellen</w:t>
      </w:r>
      <w:r w:rsidR="00937EF4" w:rsidRPr="00937EF4">
        <w:rPr>
          <w:lang w:val="de-DE" w:bidi="en-US"/>
        </w:rPr>
        <w:t xml:space="preserve"> Umweltauswirkungen entsprechen muss.</w:t>
      </w:r>
    </w:p>
    <w:p w14:paraId="5D8AA20B" w14:textId="4C7218CA" w:rsidR="00937EF4" w:rsidRDefault="00937EF4" w:rsidP="00937EF4">
      <w:pPr>
        <w:spacing w:after="160"/>
        <w:jc w:val="left"/>
        <w:rPr>
          <w:lang w:val="de-DE" w:bidi="en-US"/>
        </w:rPr>
      </w:pPr>
      <w:r w:rsidRPr="00937EF4">
        <w:rPr>
          <w:lang w:val="de-DE" w:bidi="en-US"/>
        </w:rPr>
        <w:t xml:space="preserve">Damit wird bereits auf Gesetzesebene deutlich gemacht, dass sich der Umfang des UMS an den konkreten Gegebenheiten vor Ort ausrichten muss. Dies entspricht einer </w:t>
      </w:r>
      <w:r w:rsidRPr="001A09FA">
        <w:rPr>
          <w:b/>
          <w:bCs/>
          <w:lang w:val="de-DE" w:bidi="en-US"/>
        </w:rPr>
        <w:t>1:1 Umsetzung</w:t>
      </w:r>
      <w:r w:rsidRPr="00937EF4">
        <w:rPr>
          <w:lang w:val="de-DE" w:bidi="en-US"/>
        </w:rPr>
        <w:t xml:space="preserve"> der Richtlinie und ist Ausdruck des Verhältnismäßigkeitsgrundsatzes.</w:t>
      </w:r>
    </w:p>
    <w:p w14:paraId="2C5C4BF9" w14:textId="144A37BA" w:rsidR="005E2DE3" w:rsidRPr="000C6849" w:rsidRDefault="00F007A7" w:rsidP="005E2DE3">
      <w:pPr>
        <w:pStyle w:val="berschrift1"/>
        <w:rPr>
          <w:lang w:val="de-DE"/>
        </w:rPr>
      </w:pPr>
      <w:bookmarkStart w:id="14" w:name="_Toc187072907"/>
      <w:r>
        <w:rPr>
          <w:lang w:val="de-DE"/>
        </w:rPr>
        <w:t>1</w:t>
      </w:r>
      <w:r w:rsidR="00965515">
        <w:rPr>
          <w:lang w:val="de-DE"/>
        </w:rPr>
        <w:t>.5</w:t>
      </w:r>
      <w:r w:rsidR="005E2DE3" w:rsidRPr="00091C0D">
        <w:rPr>
          <w:lang w:val="de-DE"/>
        </w:rPr>
        <w:t xml:space="preserve"> </w:t>
      </w:r>
      <w:bookmarkStart w:id="15" w:name="_Hlk157592453"/>
      <w:r w:rsidR="005E2DE3" w:rsidRPr="000C6849">
        <w:rPr>
          <w:lang w:val="de-DE"/>
        </w:rPr>
        <w:t>Keine Nachteile bei verzögerter BVT-Umsetzung</w:t>
      </w:r>
      <w:bookmarkEnd w:id="14"/>
    </w:p>
    <w:bookmarkEnd w:id="15"/>
    <w:p w14:paraId="6BDB50DE" w14:textId="4264411B" w:rsidR="005E2DE3" w:rsidRPr="00BF3CB1" w:rsidRDefault="005E2DE3" w:rsidP="005E2DE3">
      <w:pPr>
        <w:rPr>
          <w:lang w:val="de-DE"/>
        </w:rPr>
      </w:pPr>
      <w:r>
        <w:rPr>
          <w:lang w:val="de-DE"/>
        </w:rPr>
        <w:t xml:space="preserve">Der BDI spricht sich dafür aus, dass </w:t>
      </w:r>
      <w:r w:rsidRPr="00D304A0">
        <w:rPr>
          <w:lang w:val="de-DE"/>
        </w:rPr>
        <w:t xml:space="preserve">eine </w:t>
      </w:r>
      <w:r>
        <w:rPr>
          <w:lang w:val="de-DE"/>
        </w:rPr>
        <w:t>eindeutige</w:t>
      </w:r>
      <w:r w:rsidRPr="00D304A0">
        <w:rPr>
          <w:lang w:val="de-DE"/>
        </w:rPr>
        <w:t xml:space="preserve"> gesetzliche Regelung</w:t>
      </w:r>
      <w:r>
        <w:rPr>
          <w:lang w:val="de-DE"/>
        </w:rPr>
        <w:t xml:space="preserve"> geschaffen wird</w:t>
      </w:r>
      <w:r w:rsidRPr="00D304A0">
        <w:rPr>
          <w:lang w:val="de-DE"/>
        </w:rPr>
        <w:t xml:space="preserve">, dass die Umsetzung </w:t>
      </w:r>
      <w:r>
        <w:rPr>
          <w:lang w:val="de-DE"/>
        </w:rPr>
        <w:t xml:space="preserve">von BVT-Schlussfolgerungen in deutsches Recht </w:t>
      </w:r>
      <w:r w:rsidRPr="00D304A0">
        <w:rPr>
          <w:lang w:val="de-DE"/>
        </w:rPr>
        <w:t xml:space="preserve">innerhalb eines Jahres </w:t>
      </w:r>
      <w:r>
        <w:rPr>
          <w:lang w:val="de-DE"/>
        </w:rPr>
        <w:t xml:space="preserve">nach Bekanntmachung der BVT </w:t>
      </w:r>
      <w:r w:rsidRPr="00BF3CB1">
        <w:rPr>
          <w:lang w:val="de-DE"/>
        </w:rPr>
        <w:t xml:space="preserve">erfolgen muss. Zudem muss </w:t>
      </w:r>
      <w:r w:rsidRPr="00BF3CB1">
        <w:rPr>
          <w:b/>
          <w:bCs/>
          <w:lang w:val="de-DE"/>
        </w:rPr>
        <w:t>eine weitere mindestens dreijährige Übergangsfrist</w:t>
      </w:r>
      <w:r w:rsidRPr="00BF3CB1">
        <w:rPr>
          <w:lang w:val="de-DE"/>
        </w:rPr>
        <w:t xml:space="preserve"> vorgesehen werden, bis die Betreiber die BVT-Vorgaben einhalten müssen, falls eine Umsetzung in deutsches Recht innerhalb eines Jahres nicht gelingt. </w:t>
      </w:r>
    </w:p>
    <w:p w14:paraId="57BA4471" w14:textId="77777777" w:rsidR="005E2DE3" w:rsidRPr="00BF3CB1" w:rsidRDefault="005E2DE3" w:rsidP="005E2DE3">
      <w:pPr>
        <w:rPr>
          <w:lang w:val="de-DE"/>
        </w:rPr>
      </w:pPr>
      <w:r w:rsidRPr="00BF3CB1">
        <w:rPr>
          <w:lang w:val="de-DE"/>
        </w:rPr>
        <w:t xml:space="preserve">Verzögerungen bei der Umsetzung von BVT-Schlussfolgerungen in deutsches Recht, die sich in der Vergangenheit bei vielen BVT-Umsetzungen gezeigt haben, dürfen grundsätzlich nicht zu Lasten der Betreiber gehen. </w:t>
      </w:r>
    </w:p>
    <w:p w14:paraId="1FE07D31" w14:textId="77777777" w:rsidR="005E2DE3" w:rsidRPr="00BF3CB1" w:rsidRDefault="005E2DE3" w:rsidP="005E2DE3">
      <w:pPr>
        <w:rPr>
          <w:lang w:val="de-DE"/>
        </w:rPr>
      </w:pPr>
      <w:r w:rsidRPr="00BF3CB1">
        <w:rPr>
          <w:lang w:val="de-DE"/>
        </w:rPr>
        <w:t xml:space="preserve">Die IED verlangt Compliance mit den BVT-Schlussfolgerungen innerhalb von vier Jahren nach deren Veröffentlichung, und zwar auch für Bestandsanlagen. In den letzten Jahren wurde dieser Zeitraum allein bei der Umsetzung in allgemein bindenden Vorschriften (Rechtsverordnung oder Allgemeine Verwaltungsvorschriften) oftmals kaum eingehalten oder sogar überschritten. Die in zum Beispiel § 7 Abs. 1a Nr. 1 BImSchG vorgesehenen Ein-Jahres-Frist ist regelmäßig nicht eingehalten worden. </w:t>
      </w:r>
    </w:p>
    <w:p w14:paraId="022F87FD" w14:textId="77777777" w:rsidR="005E2DE3" w:rsidRPr="00BF3CB1" w:rsidRDefault="005E2DE3" w:rsidP="005E2DE3">
      <w:pPr>
        <w:rPr>
          <w:lang w:val="de-DE"/>
        </w:rPr>
      </w:pPr>
      <w:r w:rsidRPr="00BF3CB1">
        <w:rPr>
          <w:lang w:val="de-DE"/>
        </w:rPr>
        <w:t>Gerade bei Rechtsverordnungen, die unmittelbar gegenüber den Betreibern gelten, führte dies zu erheblichen rechtlichen Nachteilen bei den Betreibern. Diese waren faktisch nicht in der Lage, die neuen Anforderungen zeitgerecht in ihren Bestandsanlagen zu erfüllen. Denn bei notwendigen technischen Anpassungen der existierenden Anlagen müssen diese zunächst geplant werden, danach folgt ein Zeitraum für die Beschaffung von Anlagen oder Anlagenteilen, oftmals bedarf es dann weiterer Anzeige- oder Genehmigungsverfahren und danach müssen diese neuen Anlagen/Anlagenteile errichtet werden. Im Regelfall werden bis zu drei Jahre für diese Vorgänge benötigt. Mit Blick auf Anlagen zur Dekarbonisierung der Industrie inklusive der dafür notwendigen Infrastruktur (z. B. der CO2-Abscheidung) kann dies aufgrund der Neuartigkeit der Technologien und dem Mangel an Erfahrungswissen noch länger dauern.</w:t>
      </w:r>
    </w:p>
    <w:p w14:paraId="74809773" w14:textId="77777777" w:rsidR="005E2DE3" w:rsidRPr="00BF3CB1" w:rsidRDefault="005E2DE3" w:rsidP="005E2DE3">
      <w:pPr>
        <w:rPr>
          <w:lang w:val="de-DE"/>
        </w:rPr>
      </w:pPr>
      <w:r w:rsidRPr="00BF3CB1">
        <w:rPr>
          <w:lang w:val="de-DE"/>
        </w:rPr>
        <w:t>Gerade wegen der neuen komplexen Anforderungen der IED sollte noch strikter auf einen zügigen und trotzdem transparenten Umsetzungsprozess geachtet werden.</w:t>
      </w:r>
    </w:p>
    <w:p w14:paraId="788EA844" w14:textId="78DD7A46" w:rsidR="00477522" w:rsidRDefault="005E2DE3" w:rsidP="00477522">
      <w:pPr>
        <w:rPr>
          <w:b/>
          <w:bCs/>
          <w:lang w:val="de-DE"/>
        </w:rPr>
      </w:pPr>
      <w:r w:rsidRPr="00BF3CB1">
        <w:rPr>
          <w:b/>
          <w:bCs/>
          <w:lang w:val="de-DE"/>
        </w:rPr>
        <w:t xml:space="preserve">Eine unmittelbare Anwendung von BVT-Schlussfolgerungen nach Ablauf der 4-Jahres-Frist muss explizit ausgeschlossen werden. </w:t>
      </w:r>
    </w:p>
    <w:p w14:paraId="65AE76BB" w14:textId="498D6E7D" w:rsidR="00B94ED1" w:rsidRDefault="00B94ED1" w:rsidP="00477522">
      <w:pPr>
        <w:rPr>
          <w:b/>
          <w:bCs/>
          <w:lang w:val="de-DE"/>
        </w:rPr>
      </w:pPr>
      <w:r w:rsidRPr="00B94ED1">
        <w:rPr>
          <w:b/>
          <w:bCs/>
          <w:highlight w:val="cyan"/>
          <w:lang w:val="de-DE"/>
        </w:rPr>
        <w:t>In diesem Zusammenhang lehnen wir die Vorschläge zur Neuregelung des § 12 Abs. 1a und den Verweis in dem neuen § 17 Abs. 1a Satz 1 BImSchG ab (siehe dort).</w:t>
      </w:r>
      <w:r w:rsidRPr="00B94ED1">
        <w:rPr>
          <w:b/>
          <w:bCs/>
          <w:lang w:val="de-DE"/>
        </w:rPr>
        <w:t xml:space="preserve"> </w:t>
      </w:r>
    </w:p>
    <w:p w14:paraId="422CE675" w14:textId="69819ED3" w:rsidR="00C71C84" w:rsidRPr="00C71C84" w:rsidRDefault="00C71C84" w:rsidP="00C71C84">
      <w:pPr>
        <w:pStyle w:val="berschrift1"/>
        <w:rPr>
          <w:lang w:val="de-DE"/>
        </w:rPr>
      </w:pPr>
      <w:bookmarkStart w:id="16" w:name="_Toc187072908"/>
      <w:r>
        <w:rPr>
          <w:lang w:val="de-DE"/>
        </w:rPr>
        <w:lastRenderedPageBreak/>
        <w:t>1.</w:t>
      </w:r>
      <w:r w:rsidR="00065795">
        <w:rPr>
          <w:lang w:val="de-DE"/>
        </w:rPr>
        <w:t>6</w:t>
      </w:r>
      <w:r w:rsidRPr="00091C0D">
        <w:rPr>
          <w:lang w:val="de-DE"/>
        </w:rPr>
        <w:t xml:space="preserve"> </w:t>
      </w:r>
      <w:r w:rsidR="006C2560">
        <w:rPr>
          <w:lang w:val="de-DE"/>
        </w:rPr>
        <w:t xml:space="preserve">Klarstellung zur Genehmigung modularer Anlagen in der Begründung </w:t>
      </w:r>
      <w:r>
        <w:rPr>
          <w:lang w:val="de-DE"/>
        </w:rPr>
        <w:t>(§ 6 BImSchG)</w:t>
      </w:r>
      <w:bookmarkEnd w:id="16"/>
    </w:p>
    <w:p w14:paraId="1F184743" w14:textId="25F11DD1" w:rsidR="00F52AB9" w:rsidRDefault="00C71C84" w:rsidP="00C71C84">
      <w:pPr>
        <w:rPr>
          <w:lang w:val="de-DE"/>
        </w:rPr>
      </w:pPr>
      <w:r w:rsidRPr="00C71C84">
        <w:rPr>
          <w:lang w:val="de-DE"/>
        </w:rPr>
        <w:t>Wir begrüßen die i</w:t>
      </w:r>
      <w:r w:rsidR="00F52AB9">
        <w:rPr>
          <w:lang w:val="de-DE"/>
        </w:rPr>
        <w:t>n</w:t>
      </w:r>
      <w:r w:rsidRPr="00C71C84">
        <w:rPr>
          <w:lang w:val="de-DE"/>
        </w:rPr>
        <w:t xml:space="preserve"> § 6 neu geschaffene Möglichkeit zur Genehmigung modularer Anlagen sehr. </w:t>
      </w:r>
    </w:p>
    <w:p w14:paraId="673B475D" w14:textId="1AEB02C5" w:rsidR="006406F0" w:rsidRDefault="00C71C84" w:rsidP="00C71C84">
      <w:pPr>
        <w:rPr>
          <w:lang w:val="de-DE"/>
        </w:rPr>
      </w:pPr>
      <w:r w:rsidRPr="00C71C84">
        <w:rPr>
          <w:lang w:val="de-DE"/>
        </w:rPr>
        <w:t xml:space="preserve">Unseres Erachtens </w:t>
      </w:r>
      <w:r w:rsidR="00CB3EFF">
        <w:rPr>
          <w:lang w:val="de-DE"/>
        </w:rPr>
        <w:t xml:space="preserve">sollte </w:t>
      </w:r>
      <w:r w:rsidR="007A7C09">
        <w:rPr>
          <w:lang w:val="de-DE"/>
        </w:rPr>
        <w:t>jedoch in der Gesetzesbegründung eine Klarstellung erfolgen</w:t>
      </w:r>
      <w:r w:rsidR="006406F0">
        <w:rPr>
          <w:lang w:val="de-DE"/>
        </w:rPr>
        <w:t>, um Missverständnisse zu vermeiden</w:t>
      </w:r>
      <w:r w:rsidR="007A7C09">
        <w:rPr>
          <w:lang w:val="de-DE"/>
        </w:rPr>
        <w:t xml:space="preserve">. </w:t>
      </w:r>
    </w:p>
    <w:p w14:paraId="085D625B" w14:textId="0771387A" w:rsidR="00C71C84" w:rsidRPr="00C71C84" w:rsidRDefault="006406F0" w:rsidP="00C71C84">
      <w:pPr>
        <w:rPr>
          <w:lang w:val="de-DE"/>
        </w:rPr>
      </w:pPr>
      <w:r>
        <w:rPr>
          <w:lang w:val="de-DE"/>
        </w:rPr>
        <w:t>U</w:t>
      </w:r>
      <w:r w:rsidR="00C71C84" w:rsidRPr="00C71C84">
        <w:rPr>
          <w:lang w:val="de-DE"/>
        </w:rPr>
        <w:t>nglücklich gewählt ist die folgende Formulierung in der Gesetzesbegründung:</w:t>
      </w:r>
    </w:p>
    <w:p w14:paraId="0192FC3A" w14:textId="33528C8E" w:rsidR="00C71C84" w:rsidRPr="00BA45D6" w:rsidRDefault="00C71C84" w:rsidP="00C71C84">
      <w:pPr>
        <w:rPr>
          <w:i/>
          <w:iCs/>
          <w:lang w:val="de-DE"/>
        </w:rPr>
      </w:pPr>
      <w:r w:rsidRPr="00BA45D6">
        <w:rPr>
          <w:i/>
          <w:iCs/>
          <w:lang w:val="de-DE"/>
        </w:rPr>
        <w:t>„Bei der Genehmigung von modularen Anlagen, die durch eine variable Verschaltung einer Auswahl genehmigter modularer Prozesseinheiten und damit durch eine Vielfalt und Variationsbreite von Verfahrenstypen oder Stoffklassen in der Produktion gekennzeichnet sind, können insofern Probleme bei der Erteilung der immissionsschutzrechtlichen Genehmigung auftreten, als rechtlich unterschiedliche Ansichten vertreten werden, ob und in wieweit sie unter den bisherigen § 6 Absatz 2 fallen und die Erteilung einer „Rahmengenehmigung“ genügt.</w:t>
      </w:r>
      <w:r w:rsidR="00BA45D6">
        <w:rPr>
          <w:i/>
          <w:iCs/>
          <w:lang w:val="de-DE"/>
        </w:rPr>
        <w:t>“</w:t>
      </w:r>
    </w:p>
    <w:p w14:paraId="009619F7" w14:textId="77777777" w:rsidR="00CB3EFF" w:rsidRDefault="00C71C84" w:rsidP="00C71C84">
      <w:pPr>
        <w:rPr>
          <w:lang w:val="de-DE"/>
        </w:rPr>
      </w:pPr>
      <w:r w:rsidRPr="00C71C84">
        <w:rPr>
          <w:lang w:val="de-DE"/>
        </w:rPr>
        <w:t xml:space="preserve">Die Formulierung „genehmigte modulare Prozesseinheiten“ kann leicht missverstanden werden im Sinne einer Bauartzulassung nach § 33 BImSchG. Diese ist hier jedoch nicht gemeint und wäre in dieser Regelung zur Genehmigung modularer Anlagen auch nicht im Sinne der Antragsteller, da genau eine solche Bauartzulassung für (typischerweise sehr individuell konstruierte) modulare Prozesseinheiten in aller Regel nicht besteht. </w:t>
      </w:r>
    </w:p>
    <w:p w14:paraId="7EE2F543" w14:textId="7A2BE250" w:rsidR="00C71C84" w:rsidRPr="00C71C84" w:rsidRDefault="00C71C84" w:rsidP="00C71C84">
      <w:pPr>
        <w:rPr>
          <w:lang w:val="de-DE"/>
        </w:rPr>
      </w:pPr>
      <w:r w:rsidRPr="00C71C84">
        <w:rPr>
          <w:lang w:val="de-DE"/>
        </w:rPr>
        <w:t xml:space="preserve">Wir schlagen daher vor, in der Gesetzesbegründung entweder das Wort „genehmigter“ zu </w:t>
      </w:r>
      <w:proofErr w:type="gramStart"/>
      <w:r w:rsidRPr="00C71C84">
        <w:rPr>
          <w:lang w:val="de-DE"/>
        </w:rPr>
        <w:t>streichen,</w:t>
      </w:r>
      <w:proofErr w:type="gramEnd"/>
      <w:r w:rsidRPr="00C71C84">
        <w:rPr>
          <w:lang w:val="de-DE"/>
        </w:rPr>
        <w:t xml:space="preserve"> oder aber ausführlicher zu formulieren, dass hier modulare Prozesseinheiten gemeint sind, die auf Basis einer bestehenden Anlagengenehmigung nach BImSchG zum Betrieb in dieser Anlage genehmigt sind.</w:t>
      </w:r>
    </w:p>
    <w:p w14:paraId="07048CD5" w14:textId="5D568C9E" w:rsidR="00C71C84" w:rsidRPr="00CB3EFF" w:rsidRDefault="00C71C84" w:rsidP="00477522">
      <w:pPr>
        <w:rPr>
          <w:lang w:val="de-DE"/>
        </w:rPr>
      </w:pPr>
      <w:r w:rsidRPr="00C71C84">
        <w:rPr>
          <w:lang w:val="de-DE"/>
        </w:rPr>
        <w:t>Eine Erläuterung lediglich in einer Vollzugsempfehlung erscheint uns nicht ausreichend, da nach der juristischen Auslegungslehre die Begründung des Gesetzes der Vollzugsempfehlung vorgeht.</w:t>
      </w:r>
    </w:p>
    <w:p w14:paraId="0EE04A24" w14:textId="02175032" w:rsidR="0060609A" w:rsidRPr="00065795" w:rsidRDefault="00F007A7" w:rsidP="00E53070">
      <w:pPr>
        <w:pStyle w:val="berschrift1"/>
        <w:rPr>
          <w:lang w:val="de-DE"/>
        </w:rPr>
      </w:pPr>
      <w:bookmarkStart w:id="17" w:name="_Toc187072909"/>
      <w:r>
        <w:rPr>
          <w:lang w:val="de-DE"/>
        </w:rPr>
        <w:t>1</w:t>
      </w:r>
      <w:r w:rsidR="00477522">
        <w:rPr>
          <w:lang w:val="de-DE"/>
        </w:rPr>
        <w:t>.</w:t>
      </w:r>
      <w:r w:rsidR="00065795">
        <w:rPr>
          <w:lang w:val="de-DE"/>
        </w:rPr>
        <w:t>7</w:t>
      </w:r>
      <w:r w:rsidR="00477522" w:rsidRPr="00091C0D">
        <w:rPr>
          <w:lang w:val="de-DE"/>
        </w:rPr>
        <w:t xml:space="preserve"> </w:t>
      </w:r>
      <w:r w:rsidR="000B285A" w:rsidRPr="000B285A">
        <w:rPr>
          <w:lang w:val="de-DE"/>
        </w:rPr>
        <w:t>Differenzierung zwischen IED- und Nicht-IED Anlagen in der Verordnungsermächtigung</w:t>
      </w:r>
      <w:r w:rsidR="000B285A">
        <w:rPr>
          <w:lang w:val="de-DE"/>
        </w:rPr>
        <w:t xml:space="preserve"> </w:t>
      </w:r>
      <w:r w:rsidR="009D6EB0" w:rsidRPr="00065795">
        <w:rPr>
          <w:lang w:val="de-DE"/>
        </w:rPr>
        <w:t xml:space="preserve">erforderlich </w:t>
      </w:r>
      <w:r w:rsidR="000F6485" w:rsidRPr="00065795">
        <w:rPr>
          <w:lang w:val="de-DE"/>
        </w:rPr>
        <w:t>(§ 7 BImSchG)</w:t>
      </w:r>
      <w:bookmarkEnd w:id="17"/>
    </w:p>
    <w:p w14:paraId="25CEFFC5" w14:textId="125D2155" w:rsidR="0048259A" w:rsidRPr="00065795" w:rsidRDefault="00287B0E" w:rsidP="0048259A">
      <w:pPr>
        <w:rPr>
          <w:lang w:val="de-DE"/>
        </w:rPr>
      </w:pPr>
      <w:r w:rsidRPr="00065795">
        <w:rPr>
          <w:lang w:val="de-DE"/>
        </w:rPr>
        <w:t xml:space="preserve">In der Verordnungsermächtigung des § 7 BImSchG </w:t>
      </w:r>
      <w:r w:rsidR="00440B84" w:rsidRPr="00065795">
        <w:rPr>
          <w:lang w:val="de-DE"/>
        </w:rPr>
        <w:t xml:space="preserve">sollte zwischen </w:t>
      </w:r>
      <w:r w:rsidR="0048259A" w:rsidRPr="00065795">
        <w:rPr>
          <w:lang w:val="de-DE"/>
        </w:rPr>
        <w:t xml:space="preserve">IED- und Nicht-IED Anlagen </w:t>
      </w:r>
      <w:r w:rsidR="00440B84" w:rsidRPr="00065795">
        <w:rPr>
          <w:lang w:val="de-DE"/>
        </w:rPr>
        <w:t>differenziert werden.</w:t>
      </w:r>
    </w:p>
    <w:p w14:paraId="799CB70A" w14:textId="395B6CC7" w:rsidR="004D2118" w:rsidRPr="00065795" w:rsidRDefault="0048259A" w:rsidP="004D2118">
      <w:pPr>
        <w:rPr>
          <w:lang w:val="de-DE"/>
        </w:rPr>
      </w:pPr>
      <w:r w:rsidRPr="00065795">
        <w:rPr>
          <w:lang w:val="de-DE"/>
        </w:rPr>
        <w:t xml:space="preserve">Betreiberpflichten </w:t>
      </w:r>
      <w:r w:rsidR="00065795" w:rsidRPr="00065795">
        <w:rPr>
          <w:lang w:val="de-DE"/>
        </w:rPr>
        <w:t>für</w:t>
      </w:r>
      <w:r w:rsidRPr="00065795">
        <w:rPr>
          <w:lang w:val="de-DE"/>
        </w:rPr>
        <w:t xml:space="preserve"> IED- und </w:t>
      </w:r>
      <w:r w:rsidR="00065795" w:rsidRPr="00065795">
        <w:rPr>
          <w:lang w:val="de-DE"/>
        </w:rPr>
        <w:t xml:space="preserve">für </w:t>
      </w:r>
      <w:r w:rsidRPr="00065795">
        <w:rPr>
          <w:lang w:val="de-DE"/>
        </w:rPr>
        <w:t xml:space="preserve">Nicht-IED Anlagen </w:t>
      </w:r>
      <w:r w:rsidR="00440B84" w:rsidRPr="00065795">
        <w:rPr>
          <w:lang w:val="de-DE"/>
        </w:rPr>
        <w:t xml:space="preserve">sollten </w:t>
      </w:r>
      <w:r w:rsidRPr="00065795">
        <w:rPr>
          <w:lang w:val="de-DE"/>
        </w:rPr>
        <w:t>deutlicher ab</w:t>
      </w:r>
      <w:r w:rsidR="00440B84" w:rsidRPr="00065795">
        <w:rPr>
          <w:lang w:val="de-DE"/>
        </w:rPr>
        <w:t>ge</w:t>
      </w:r>
      <w:r w:rsidRPr="00065795">
        <w:rPr>
          <w:lang w:val="de-DE"/>
        </w:rPr>
        <w:t>grenz</w:t>
      </w:r>
      <w:r w:rsidR="00440B84" w:rsidRPr="00065795">
        <w:rPr>
          <w:lang w:val="de-DE"/>
        </w:rPr>
        <w:t>t werden</w:t>
      </w:r>
      <w:r w:rsidR="005D168E" w:rsidRPr="00065795">
        <w:rPr>
          <w:lang w:val="de-DE"/>
        </w:rPr>
        <w:t xml:space="preserve">. </w:t>
      </w:r>
      <w:r w:rsidR="00B45935" w:rsidRPr="00065795">
        <w:rPr>
          <w:lang w:val="de-DE"/>
        </w:rPr>
        <w:t xml:space="preserve">Die Verordnungsermächtigung zu weiteren Betreiberpflichten </w:t>
      </w:r>
      <w:r w:rsidR="00344B57" w:rsidRPr="00065795">
        <w:rPr>
          <w:lang w:val="de-DE"/>
        </w:rPr>
        <w:t>– wie z. B. Umweltleistungsw</w:t>
      </w:r>
      <w:r w:rsidR="00E91DAD" w:rsidRPr="00065795">
        <w:rPr>
          <w:lang w:val="de-DE"/>
        </w:rPr>
        <w:t>e</w:t>
      </w:r>
      <w:r w:rsidR="00344B57" w:rsidRPr="00065795">
        <w:rPr>
          <w:lang w:val="de-DE"/>
        </w:rPr>
        <w:t>rte – sollten sich nur auf IED-Anlagen beziehen und nicht zusätzlich auf Nicht-IED-Anlagen.</w:t>
      </w:r>
      <w:r w:rsidR="00E91DAD" w:rsidRPr="00065795">
        <w:rPr>
          <w:lang w:val="de-DE"/>
        </w:rPr>
        <w:t xml:space="preserve"> Ansonsten wäre dies keine </w:t>
      </w:r>
      <w:r w:rsidR="00E91DAD" w:rsidRPr="00695BF0">
        <w:rPr>
          <w:b/>
          <w:bCs/>
          <w:lang w:val="de-DE"/>
        </w:rPr>
        <w:t>1:1-Umsetzung</w:t>
      </w:r>
      <w:r w:rsidR="00E91DAD" w:rsidRPr="00065795">
        <w:rPr>
          <w:lang w:val="de-DE"/>
        </w:rPr>
        <w:t xml:space="preserve"> der IED-Richtlinie. </w:t>
      </w:r>
    </w:p>
    <w:p w14:paraId="702E0578" w14:textId="4117269D" w:rsidR="00270B7C" w:rsidRDefault="0048259A" w:rsidP="00F03B6F">
      <w:pPr>
        <w:pStyle w:val="Listenabsatz"/>
        <w:numPr>
          <w:ilvl w:val="0"/>
          <w:numId w:val="9"/>
        </w:numPr>
        <w:rPr>
          <w:lang w:val="de-DE"/>
        </w:rPr>
      </w:pPr>
      <w:r w:rsidRPr="00065795">
        <w:rPr>
          <w:lang w:val="de-DE"/>
        </w:rPr>
        <w:t xml:space="preserve">Folgerichtig </w:t>
      </w:r>
      <w:r w:rsidR="00BE0642" w:rsidRPr="00065795">
        <w:rPr>
          <w:lang w:val="de-DE"/>
        </w:rPr>
        <w:t>sollte</w:t>
      </w:r>
      <w:r w:rsidRPr="00065795">
        <w:rPr>
          <w:lang w:val="de-DE"/>
        </w:rPr>
        <w:t xml:space="preserve"> damit in der Verordnungsermächtigung nach § 7 Abs. 1 Nummer 2a und 2b</w:t>
      </w:r>
      <w:r w:rsidR="00BE0642" w:rsidRPr="00065795">
        <w:rPr>
          <w:lang w:val="de-DE"/>
        </w:rPr>
        <w:t xml:space="preserve"> </w:t>
      </w:r>
      <w:r w:rsidR="00CB42BE" w:rsidRPr="00065795">
        <w:rPr>
          <w:lang w:val="de-DE"/>
        </w:rPr>
        <w:t xml:space="preserve">BImSchG </w:t>
      </w:r>
      <w:r w:rsidR="00BE0642" w:rsidRPr="00065795">
        <w:rPr>
          <w:lang w:val="de-DE"/>
        </w:rPr>
        <w:t>eine Einschränkung</w:t>
      </w:r>
      <w:r w:rsidR="00BE0642" w:rsidRPr="00270B7C">
        <w:rPr>
          <w:lang w:val="de-DE"/>
        </w:rPr>
        <w:t xml:space="preserve"> auf IED-Anlagen vorgenommen werden. </w:t>
      </w:r>
    </w:p>
    <w:p w14:paraId="4EA7B8E8" w14:textId="45554700" w:rsidR="0048259A" w:rsidRPr="00270B7C" w:rsidRDefault="0048259A" w:rsidP="00F03B6F">
      <w:pPr>
        <w:pStyle w:val="Listenabsatz"/>
        <w:numPr>
          <w:ilvl w:val="0"/>
          <w:numId w:val="9"/>
        </w:numPr>
        <w:rPr>
          <w:lang w:val="de-DE"/>
        </w:rPr>
      </w:pPr>
      <w:r w:rsidRPr="00270B7C">
        <w:rPr>
          <w:lang w:val="de-DE"/>
        </w:rPr>
        <w:t xml:space="preserve">Zudem </w:t>
      </w:r>
      <w:r w:rsidR="00270B7C" w:rsidRPr="00270B7C">
        <w:rPr>
          <w:lang w:val="de-DE"/>
        </w:rPr>
        <w:t>sollte</w:t>
      </w:r>
      <w:r w:rsidRPr="00270B7C">
        <w:rPr>
          <w:lang w:val="de-DE"/>
        </w:rPr>
        <w:t xml:space="preserve"> sich die Änderung in § 7 Abs. 1 Nummer 3 </w:t>
      </w:r>
      <w:r w:rsidR="00CB42BE">
        <w:rPr>
          <w:lang w:val="de-DE"/>
        </w:rPr>
        <w:t xml:space="preserve">BImSchG </w:t>
      </w:r>
      <w:r w:rsidRPr="00270B7C">
        <w:rPr>
          <w:lang w:val="de-DE"/>
        </w:rPr>
        <w:t>(„Umweltleistung“) nur auf IED-Anlagen beziehen.</w:t>
      </w:r>
    </w:p>
    <w:p w14:paraId="4B627A68" w14:textId="7983F4BE" w:rsidR="0048259A" w:rsidRPr="0060609A" w:rsidRDefault="00F007A7" w:rsidP="0048259A">
      <w:pPr>
        <w:pStyle w:val="berschrift1"/>
        <w:rPr>
          <w:lang w:val="de-DE"/>
        </w:rPr>
      </w:pPr>
      <w:bookmarkStart w:id="18" w:name="_Toc187072910"/>
      <w:r>
        <w:rPr>
          <w:lang w:val="de-DE"/>
        </w:rPr>
        <w:lastRenderedPageBreak/>
        <w:t>1</w:t>
      </w:r>
      <w:r w:rsidR="0048259A">
        <w:rPr>
          <w:lang w:val="de-DE"/>
        </w:rPr>
        <w:t>.</w:t>
      </w:r>
      <w:r w:rsidR="00065795">
        <w:rPr>
          <w:lang w:val="de-DE"/>
        </w:rPr>
        <w:t>8</w:t>
      </w:r>
      <w:r w:rsidR="0048259A" w:rsidRPr="00091C0D">
        <w:rPr>
          <w:lang w:val="de-DE"/>
        </w:rPr>
        <w:t xml:space="preserve"> </w:t>
      </w:r>
      <w:r w:rsidR="0048259A">
        <w:rPr>
          <w:lang w:val="de-DE"/>
        </w:rPr>
        <w:t xml:space="preserve">Ausnahmekatalog vervollständigen: </w:t>
      </w:r>
      <w:r w:rsidR="0048259A" w:rsidRPr="0060609A">
        <w:rPr>
          <w:lang w:val="de-DE"/>
        </w:rPr>
        <w:t xml:space="preserve">Aufnahme des geografischen Standorts und der lokalen Umweltbedingungen </w:t>
      </w:r>
      <w:r w:rsidR="0048259A">
        <w:rPr>
          <w:lang w:val="de-DE"/>
        </w:rPr>
        <w:t>(§ 7, 12, 17, 48 BImSchG)</w:t>
      </w:r>
      <w:bookmarkEnd w:id="18"/>
    </w:p>
    <w:p w14:paraId="1484F2C7" w14:textId="47D33D8B" w:rsidR="0048259A" w:rsidRDefault="0048259A" w:rsidP="008E2CAB">
      <w:pPr>
        <w:rPr>
          <w:lang w:val="de-DE"/>
        </w:rPr>
      </w:pPr>
      <w:r w:rsidRPr="008E2CAB">
        <w:rPr>
          <w:lang w:val="de-DE"/>
        </w:rPr>
        <w:t xml:space="preserve">§ 7 Abs. 1c) BImSchG sollte um das auch in der IED vorgesehene Kriterium des geografischen Standortes und der lokalen Umweltbedingungen ergänzt werden. Dies ist für eine </w:t>
      </w:r>
      <w:r w:rsidRPr="00716F4A">
        <w:rPr>
          <w:b/>
          <w:bCs/>
          <w:lang w:val="de-DE"/>
        </w:rPr>
        <w:t>1:1-Umsetzung</w:t>
      </w:r>
      <w:r w:rsidRPr="008E2CAB">
        <w:rPr>
          <w:lang w:val="de-DE"/>
        </w:rPr>
        <w:t xml:space="preserve"> der Richtlinie erforderlich.</w:t>
      </w:r>
    </w:p>
    <w:p w14:paraId="32567367" w14:textId="4EA46A0A" w:rsidR="00024BC0" w:rsidRDefault="0060609A" w:rsidP="008E2CAB">
      <w:pPr>
        <w:rPr>
          <w:lang w:val="de-DE"/>
        </w:rPr>
      </w:pPr>
      <w:r w:rsidRPr="0060609A">
        <w:rPr>
          <w:lang w:val="de-DE"/>
        </w:rPr>
        <w:t>§ 7 Abs. 1c) BImSchG setzt das in Art. 15 Abs. 5 und 6 IED vorgesehene Ausnahmeverfahren für die Festlegung von verbindlichen Emissionsgrenzwerten bzw. von verbindlichen Spannen für Umweltleistungen und Umweltleistungsgrenzwerten um.</w:t>
      </w:r>
      <w:r w:rsidR="00024BC0">
        <w:rPr>
          <w:lang w:val="de-DE"/>
        </w:rPr>
        <w:t xml:space="preserve"> Die Ergänzung der Kriterien „geographischer Standort“ </w:t>
      </w:r>
      <w:r w:rsidR="00947E7C">
        <w:rPr>
          <w:lang w:val="de-DE"/>
        </w:rPr>
        <w:t xml:space="preserve">und „lokale Umweltbedingungen“ </w:t>
      </w:r>
      <w:r w:rsidR="00024BC0">
        <w:rPr>
          <w:lang w:val="de-DE"/>
        </w:rPr>
        <w:t>fehlt bisher in § 7 Abs. 1c) Nr. 1 Buchstabe a) und b) sowie in § 7 Abs. 1c) Nr. 2 Buchstabe a) und b) BImSchG.</w:t>
      </w:r>
      <w:r w:rsidR="00947E7C">
        <w:rPr>
          <w:lang w:val="de-DE"/>
        </w:rPr>
        <w:t xml:space="preserve"> </w:t>
      </w:r>
    </w:p>
    <w:p w14:paraId="4D890112" w14:textId="63ABB27E" w:rsidR="0060609A" w:rsidRPr="0060609A" w:rsidRDefault="00947E7C" w:rsidP="0060609A">
      <w:pPr>
        <w:rPr>
          <w:lang w:val="de-DE"/>
        </w:rPr>
      </w:pPr>
      <w:r>
        <w:rPr>
          <w:lang w:val="de-DE"/>
        </w:rPr>
        <w:t xml:space="preserve">Es ist davon auszugehen, dass </w:t>
      </w:r>
      <w:r w:rsidR="00335DAE">
        <w:rPr>
          <w:lang w:val="de-DE"/>
        </w:rPr>
        <w:t xml:space="preserve">zukünftig erheblich strengere Emissionsgrenzwerte </w:t>
      </w:r>
      <w:r w:rsidR="00D24C88">
        <w:rPr>
          <w:lang w:val="de-DE"/>
        </w:rPr>
        <w:t xml:space="preserve">in den IED-Anlagen </w:t>
      </w:r>
      <w:r w:rsidR="00335DAE">
        <w:rPr>
          <w:lang w:val="de-DE"/>
        </w:rPr>
        <w:t>einzuhalten sind</w:t>
      </w:r>
      <w:r w:rsidR="00D24C88">
        <w:rPr>
          <w:lang w:val="de-DE"/>
        </w:rPr>
        <w:t xml:space="preserve">. Da bereits absehbar ist, dass viele IED-Anlagen </w:t>
      </w:r>
      <w:r w:rsidR="00C800E7">
        <w:rPr>
          <w:lang w:val="de-DE"/>
        </w:rPr>
        <w:t xml:space="preserve">die strengsten Werte nicht für jeden einzelnen Schadstoff werden einhalten können, werden die Ausnahmeregelungen </w:t>
      </w:r>
      <w:r w:rsidR="00CF0033">
        <w:rPr>
          <w:lang w:val="de-DE"/>
        </w:rPr>
        <w:t xml:space="preserve">an Bedeutung gewinnen. Es sollte daher gewährleistet sein, dass auch Anlagen in Deutschland alle Ausnahmeregelungen nutzen können, die das europäische Recht bietet. </w:t>
      </w:r>
      <w:r w:rsidR="00E82D58">
        <w:rPr>
          <w:lang w:val="de-DE"/>
        </w:rPr>
        <w:t xml:space="preserve">Eine Beschränkung der Ausnahmeregelungen für deutsche IED-Anlagen würde </w:t>
      </w:r>
      <w:r w:rsidR="008E2CAB">
        <w:rPr>
          <w:lang w:val="de-DE"/>
        </w:rPr>
        <w:t xml:space="preserve">einen </w:t>
      </w:r>
      <w:r w:rsidR="00E82D58">
        <w:rPr>
          <w:lang w:val="de-DE"/>
        </w:rPr>
        <w:t>Wettbewerb</w:t>
      </w:r>
      <w:r w:rsidR="008E2CAB">
        <w:rPr>
          <w:lang w:val="de-DE"/>
        </w:rPr>
        <w:t>snachteil</w:t>
      </w:r>
      <w:r w:rsidR="00E82D58">
        <w:rPr>
          <w:lang w:val="de-DE"/>
        </w:rPr>
        <w:t xml:space="preserve"> gegenüber Anlagen aus anderen europäischen Ländern </w:t>
      </w:r>
      <w:r w:rsidR="008E2CAB">
        <w:rPr>
          <w:lang w:val="de-DE"/>
        </w:rPr>
        <w:t>bedeuten.</w:t>
      </w:r>
    </w:p>
    <w:p w14:paraId="54BAA009" w14:textId="670928F5" w:rsidR="00477522" w:rsidRPr="00F31404" w:rsidRDefault="0060609A" w:rsidP="00477522">
      <w:pPr>
        <w:rPr>
          <w:lang w:val="de-DE"/>
        </w:rPr>
      </w:pPr>
      <w:r w:rsidRPr="0060609A">
        <w:rPr>
          <w:lang w:val="de-DE"/>
        </w:rPr>
        <w:t xml:space="preserve">Die </w:t>
      </w:r>
      <w:r w:rsidR="008E2CAB">
        <w:rPr>
          <w:lang w:val="de-DE"/>
        </w:rPr>
        <w:t xml:space="preserve">Ergänzung der Kriterien „geographischer Standort“ und „lokale Umweltbedingungen“ sollte </w:t>
      </w:r>
      <w:r w:rsidRPr="0060609A">
        <w:rPr>
          <w:lang w:val="de-DE"/>
        </w:rPr>
        <w:t xml:space="preserve">entsprechend </w:t>
      </w:r>
      <w:r w:rsidR="006A37BE">
        <w:rPr>
          <w:lang w:val="de-DE"/>
        </w:rPr>
        <w:t>in</w:t>
      </w:r>
      <w:r w:rsidRPr="0060609A">
        <w:rPr>
          <w:lang w:val="de-DE"/>
        </w:rPr>
        <w:t xml:space="preserve"> § 12 Abs. 1b), § 17 Abs. 2b) und § 48 Abs. 1b)</w:t>
      </w:r>
      <w:r w:rsidR="006A37BE">
        <w:rPr>
          <w:lang w:val="de-DE"/>
        </w:rPr>
        <w:t xml:space="preserve"> ergänzt werden.</w:t>
      </w:r>
    </w:p>
    <w:p w14:paraId="169A634C" w14:textId="00904F2F" w:rsidR="00477522" w:rsidRDefault="00F007A7" w:rsidP="00477522">
      <w:pPr>
        <w:pStyle w:val="berschrift1"/>
        <w:rPr>
          <w:lang w:val="de-DE"/>
        </w:rPr>
      </w:pPr>
      <w:bookmarkStart w:id="19" w:name="_Toc187072911"/>
      <w:r>
        <w:rPr>
          <w:lang w:val="de-DE"/>
        </w:rPr>
        <w:t>1</w:t>
      </w:r>
      <w:r w:rsidR="00477522">
        <w:rPr>
          <w:lang w:val="de-DE"/>
        </w:rPr>
        <w:t>.</w:t>
      </w:r>
      <w:r w:rsidR="00065795">
        <w:rPr>
          <w:lang w:val="de-DE"/>
        </w:rPr>
        <w:t>9</w:t>
      </w:r>
      <w:r w:rsidR="00477522" w:rsidRPr="00091C0D">
        <w:rPr>
          <w:lang w:val="de-DE"/>
        </w:rPr>
        <w:t xml:space="preserve"> </w:t>
      </w:r>
      <w:r w:rsidR="000D5E3A" w:rsidRPr="00696529">
        <w:rPr>
          <w:lang w:val="de-DE"/>
        </w:rPr>
        <w:t xml:space="preserve">Aufwändiges </w:t>
      </w:r>
      <w:r w:rsidR="00166A72" w:rsidRPr="00696529">
        <w:rPr>
          <w:lang w:val="de-DE"/>
        </w:rPr>
        <w:t xml:space="preserve">Ausnahmeverfahren </w:t>
      </w:r>
      <w:r w:rsidR="00026A54" w:rsidRPr="00696529">
        <w:rPr>
          <w:lang w:val="de-DE"/>
        </w:rPr>
        <w:t>darf</w:t>
      </w:r>
      <w:r w:rsidR="00026A54">
        <w:rPr>
          <w:lang w:val="de-DE"/>
        </w:rPr>
        <w:t xml:space="preserve"> nicht für Festlegung von Grenzwerten innerhalb europäischer Bandbreiten gelten</w:t>
      </w:r>
      <w:r w:rsidR="00AE3595">
        <w:rPr>
          <w:lang w:val="de-DE"/>
        </w:rPr>
        <w:t xml:space="preserve"> (§§ 7, </w:t>
      </w:r>
      <w:r w:rsidR="00696529">
        <w:rPr>
          <w:lang w:val="de-DE"/>
        </w:rPr>
        <w:t>12, 17, 48 BImSchG</w:t>
      </w:r>
      <w:r w:rsidR="00AE3595">
        <w:rPr>
          <w:lang w:val="de-DE"/>
        </w:rPr>
        <w:t>)</w:t>
      </w:r>
      <w:bookmarkEnd w:id="19"/>
    </w:p>
    <w:p w14:paraId="34FCFB21" w14:textId="4590B67B" w:rsidR="002019A0" w:rsidRDefault="002019A0" w:rsidP="00D91D71">
      <w:pPr>
        <w:spacing w:after="160"/>
        <w:jc w:val="left"/>
        <w:rPr>
          <w:lang w:val="de-DE"/>
        </w:rPr>
      </w:pPr>
      <w:r>
        <w:rPr>
          <w:lang w:val="de-DE"/>
        </w:rPr>
        <w:t xml:space="preserve">Das aufwändige </w:t>
      </w:r>
      <w:r w:rsidR="00786189">
        <w:rPr>
          <w:lang w:val="de-DE"/>
        </w:rPr>
        <w:t xml:space="preserve">und komplexe </w:t>
      </w:r>
      <w:r>
        <w:rPr>
          <w:lang w:val="de-DE"/>
        </w:rPr>
        <w:t xml:space="preserve">Ausnahmeverfahren des Art. 15 Abs. 5 IED sollte </w:t>
      </w:r>
      <w:r w:rsidR="00EC3111">
        <w:rPr>
          <w:lang w:val="de-DE"/>
        </w:rPr>
        <w:t xml:space="preserve">- </w:t>
      </w:r>
      <w:r w:rsidR="00A35A12">
        <w:rPr>
          <w:lang w:val="de-DE"/>
        </w:rPr>
        <w:t xml:space="preserve">wie von der IED </w:t>
      </w:r>
      <w:r w:rsidR="00EC3111">
        <w:rPr>
          <w:lang w:val="de-DE"/>
        </w:rPr>
        <w:t xml:space="preserve">- </w:t>
      </w:r>
      <w:r w:rsidR="00A35A12">
        <w:rPr>
          <w:lang w:val="de-DE"/>
        </w:rPr>
        <w:t xml:space="preserve">vorgesehen </w:t>
      </w:r>
      <w:r>
        <w:rPr>
          <w:lang w:val="de-DE"/>
        </w:rPr>
        <w:t>nur</w:t>
      </w:r>
      <w:r w:rsidR="00A35A12">
        <w:rPr>
          <w:lang w:val="de-DE"/>
        </w:rPr>
        <w:t xml:space="preserve"> für die Festlegung von Emissionsgrenzwerten </w:t>
      </w:r>
      <w:r w:rsidR="00A35A12" w:rsidRPr="00E1471A">
        <w:rPr>
          <w:b/>
          <w:bCs/>
          <w:lang w:val="de-DE"/>
        </w:rPr>
        <w:t>außerhalb</w:t>
      </w:r>
      <w:r w:rsidR="00A35A12">
        <w:rPr>
          <w:lang w:val="de-DE"/>
        </w:rPr>
        <w:t xml:space="preserve"> der europäisch festgelegten Bandbreiten gelten. </w:t>
      </w:r>
      <w:r w:rsidR="00E1471A">
        <w:rPr>
          <w:lang w:val="de-DE"/>
        </w:rPr>
        <w:t xml:space="preserve">Für die Festlegung von </w:t>
      </w:r>
      <w:r w:rsidR="00E1471A" w:rsidRPr="00E1471A">
        <w:rPr>
          <w:lang w:val="de-DE"/>
        </w:rPr>
        <w:t xml:space="preserve">Emissionsgrenzwerten </w:t>
      </w:r>
      <w:r w:rsidR="00E1471A" w:rsidRPr="00E1471A">
        <w:rPr>
          <w:b/>
          <w:bCs/>
          <w:lang w:val="de-DE"/>
        </w:rPr>
        <w:t>innerhalb</w:t>
      </w:r>
      <w:r w:rsidR="00E1471A" w:rsidRPr="00E1471A">
        <w:rPr>
          <w:lang w:val="de-DE"/>
        </w:rPr>
        <w:t xml:space="preserve"> der europäisch festgelegten Bandbreiten</w:t>
      </w:r>
      <w:r w:rsidR="00EC3111">
        <w:rPr>
          <w:lang w:val="de-DE"/>
        </w:rPr>
        <w:t xml:space="preserve"> </w:t>
      </w:r>
      <w:r w:rsidR="00B37BCA">
        <w:rPr>
          <w:lang w:val="de-DE"/>
        </w:rPr>
        <w:t>sollte die allgemeine Ausnahmeregelung nach dem Verhältnismäßigkeitsgrundsatz gelten.</w:t>
      </w:r>
    </w:p>
    <w:p w14:paraId="16B29026" w14:textId="7DFC11BF" w:rsidR="00723C49" w:rsidRDefault="004165BF" w:rsidP="00D91D71">
      <w:pPr>
        <w:spacing w:after="160"/>
        <w:jc w:val="left"/>
        <w:rPr>
          <w:lang w:val="de-DE" w:bidi="en-US"/>
        </w:rPr>
      </w:pPr>
      <w:r>
        <w:rPr>
          <w:lang w:val="de-DE"/>
        </w:rPr>
        <w:t>Daher sollte i</w:t>
      </w:r>
      <w:r w:rsidR="0035201D" w:rsidRPr="00D91D71">
        <w:rPr>
          <w:lang w:val="de-DE"/>
        </w:rPr>
        <w:t xml:space="preserve">n § 7 </w:t>
      </w:r>
      <w:r w:rsidR="008F590F" w:rsidRPr="00D91D71">
        <w:rPr>
          <w:lang w:val="de-DE"/>
        </w:rPr>
        <w:t>Abs. 1</w:t>
      </w:r>
      <w:r w:rsidR="00FE6D42">
        <w:rPr>
          <w:lang w:val="de-DE"/>
        </w:rPr>
        <w:t>d</w:t>
      </w:r>
      <w:r w:rsidR="00B715C6" w:rsidRPr="00D91D71">
        <w:rPr>
          <w:lang w:val="de-DE"/>
        </w:rPr>
        <w:t xml:space="preserve"> </w:t>
      </w:r>
      <w:r w:rsidR="00D91D71" w:rsidRPr="00D91D71">
        <w:rPr>
          <w:lang w:val="de-DE"/>
        </w:rPr>
        <w:t xml:space="preserve">BImSchG </w:t>
      </w:r>
      <w:r w:rsidR="00FA3FF3">
        <w:rPr>
          <w:lang w:val="de-DE"/>
        </w:rPr>
        <w:t xml:space="preserve">(sowie in §§ 12, 17 und 48 BImSchG) </w:t>
      </w:r>
      <w:r w:rsidR="00D91D71" w:rsidRPr="00166A72">
        <w:rPr>
          <w:lang w:val="de-DE" w:bidi="en-US"/>
        </w:rPr>
        <w:t>ausdrücklich klargestellt werden, dass das Verfahren des Art</w:t>
      </w:r>
      <w:r w:rsidR="00710B1D">
        <w:rPr>
          <w:lang w:val="de-DE" w:bidi="en-US"/>
        </w:rPr>
        <w:t>.</w:t>
      </w:r>
      <w:r w:rsidR="00D91D71" w:rsidRPr="00166A72">
        <w:rPr>
          <w:lang w:val="de-DE" w:bidi="en-US"/>
        </w:rPr>
        <w:t xml:space="preserve"> 15 Abs. 5 IED nicht anwendbar ist, solange die Festsetzung </w:t>
      </w:r>
      <w:r w:rsidR="00D91D71" w:rsidRPr="00F01B18">
        <w:rPr>
          <w:b/>
          <w:bCs/>
          <w:lang w:val="de-DE" w:bidi="en-US"/>
        </w:rPr>
        <w:t>innerhalb</w:t>
      </w:r>
      <w:r w:rsidR="00D91D71" w:rsidRPr="00166A72">
        <w:rPr>
          <w:lang w:val="de-DE" w:bidi="en-US"/>
        </w:rPr>
        <w:t xml:space="preserve"> der Emissions-Bandbreiten erfolgt. Hier bedarf es </w:t>
      </w:r>
      <w:r w:rsidR="00D91D71" w:rsidRPr="00166A72">
        <w:rPr>
          <w:b/>
          <w:bCs/>
          <w:lang w:val="de-DE" w:bidi="en-US"/>
        </w:rPr>
        <w:t>einer eindeutigen Regelung</w:t>
      </w:r>
      <w:r w:rsidR="00D91D71" w:rsidRPr="00166A72">
        <w:rPr>
          <w:lang w:val="de-DE" w:bidi="en-US"/>
        </w:rPr>
        <w:t xml:space="preserve">, dass diese Abweichungen nach dem allgemeinen Verhältnismäßigkeitsgrundsatz zu beurteilen sind (siehe beispielsweise die heute schon bestehende Regelungen in Ziffer 5.1.1 letzter Absatz Satz 1 </w:t>
      </w:r>
      <w:proofErr w:type="gramStart"/>
      <w:r w:rsidR="00D91D71" w:rsidRPr="00166A72">
        <w:rPr>
          <w:lang w:val="de-DE" w:bidi="en-US"/>
        </w:rPr>
        <w:t>TA Luft</w:t>
      </w:r>
      <w:proofErr w:type="gramEnd"/>
      <w:r w:rsidR="00D91D71" w:rsidRPr="00166A72">
        <w:rPr>
          <w:lang w:val="de-DE" w:bidi="en-US"/>
        </w:rPr>
        <w:t xml:space="preserve"> oder § 23 der 13. BImSchV).</w:t>
      </w:r>
      <w:r w:rsidR="004A2282">
        <w:rPr>
          <w:lang w:val="de-DE" w:bidi="en-US"/>
        </w:rPr>
        <w:t xml:space="preserve"> </w:t>
      </w:r>
    </w:p>
    <w:p w14:paraId="296B19E1" w14:textId="5B06B3E0" w:rsidR="00D91D71" w:rsidRPr="00166A72" w:rsidRDefault="004A2282" w:rsidP="00D91D71">
      <w:pPr>
        <w:spacing w:after="160"/>
        <w:jc w:val="left"/>
        <w:rPr>
          <w:lang w:val="de-DE" w:bidi="en-US"/>
        </w:rPr>
      </w:pPr>
      <w:r>
        <w:rPr>
          <w:lang w:val="de-DE" w:bidi="en-US"/>
        </w:rPr>
        <w:t xml:space="preserve">Die Regelung des </w:t>
      </w:r>
      <w:r w:rsidR="00723C49">
        <w:rPr>
          <w:lang w:val="de-DE" w:bidi="en-US"/>
        </w:rPr>
        <w:t>§ 7 Abs. 1</w:t>
      </w:r>
      <w:r w:rsidR="00351BCA">
        <w:rPr>
          <w:lang w:val="de-DE" w:bidi="en-US"/>
        </w:rPr>
        <w:t>d</w:t>
      </w:r>
      <w:r w:rsidR="00723C49">
        <w:rPr>
          <w:lang w:val="de-DE" w:bidi="en-US"/>
        </w:rPr>
        <w:t xml:space="preserve"> Satz 5</w:t>
      </w:r>
      <w:r w:rsidR="0042198B">
        <w:rPr>
          <w:lang w:val="de-DE" w:bidi="en-US"/>
        </w:rPr>
        <w:t xml:space="preserve"> (und § 48 Abs. 1</w:t>
      </w:r>
      <w:r w:rsidR="003C5AC2">
        <w:rPr>
          <w:lang w:val="de-DE" w:bidi="en-US"/>
        </w:rPr>
        <w:t>d</w:t>
      </w:r>
      <w:r w:rsidR="003E77AD">
        <w:rPr>
          <w:lang w:val="de-DE" w:bidi="en-US"/>
        </w:rPr>
        <w:t xml:space="preserve"> Satz 5) BImSchG </w:t>
      </w:r>
      <w:r w:rsidR="00723C49" w:rsidRPr="00AB64B8">
        <w:rPr>
          <w:i/>
          <w:iCs/>
          <w:lang w:val="de-DE" w:bidi="en-US"/>
        </w:rPr>
        <w:t xml:space="preserve">„Bei der Prüfung der Verhältnismäßigkeit gemäß Satz 1 Nummer 1 Buchstabe a) und Nummer 2 Buchstabe a) sind die in Anlage 2 aufgeführten Kriterien zu berücksichtigen.“ </w:t>
      </w:r>
      <w:r w:rsidR="00AB64B8">
        <w:rPr>
          <w:lang w:val="de-DE" w:bidi="en-US"/>
        </w:rPr>
        <w:t>d</w:t>
      </w:r>
      <w:r w:rsidR="00723C49">
        <w:rPr>
          <w:lang w:val="de-DE" w:bidi="en-US"/>
        </w:rPr>
        <w:t xml:space="preserve">arf </w:t>
      </w:r>
      <w:r w:rsidR="00AB64B8">
        <w:rPr>
          <w:lang w:val="de-DE" w:bidi="en-US"/>
        </w:rPr>
        <w:t xml:space="preserve">entsprechend </w:t>
      </w:r>
      <w:r w:rsidR="00723C49">
        <w:rPr>
          <w:lang w:val="de-DE" w:bidi="en-US"/>
        </w:rPr>
        <w:t xml:space="preserve">nur </w:t>
      </w:r>
      <w:r w:rsidR="00AB64B8">
        <w:rPr>
          <w:lang w:val="de-DE" w:bidi="en-US"/>
        </w:rPr>
        <w:t xml:space="preserve">für </w:t>
      </w:r>
      <w:r w:rsidR="00AB64B8" w:rsidRPr="003C5AC2">
        <w:rPr>
          <w:b/>
          <w:bCs/>
          <w:lang w:val="de-DE" w:bidi="en-US"/>
        </w:rPr>
        <w:t>Ausnahmen außerhalb der Bandbreiten</w:t>
      </w:r>
      <w:r w:rsidR="00AB64B8">
        <w:rPr>
          <w:lang w:val="de-DE" w:bidi="en-US"/>
        </w:rPr>
        <w:t xml:space="preserve"> gelten. </w:t>
      </w:r>
    </w:p>
    <w:p w14:paraId="54EF61BA" w14:textId="77777777" w:rsidR="00166A72" w:rsidRPr="00166A72" w:rsidRDefault="00166A72" w:rsidP="00166A72">
      <w:pPr>
        <w:spacing w:after="160"/>
        <w:jc w:val="left"/>
        <w:rPr>
          <w:lang w:val="de-DE" w:bidi="en-US"/>
        </w:rPr>
      </w:pPr>
      <w:r w:rsidRPr="00166A72">
        <w:rPr>
          <w:lang w:val="de-DE" w:bidi="en-US"/>
        </w:rPr>
        <w:t xml:space="preserve">Da nunmehr bei der neuen Grenzwertfestlegung Begrenzungen im unteren Bereich der Emissions-Bandbreiten eher der Regelfall werden, sind Fälle absehbar, in denen aus Verhältnismäßigkeitsgründen ein Grenzwert davon abweichend im oberen Bereich der BVT-Bandbreite notwendig wird. </w:t>
      </w:r>
    </w:p>
    <w:p w14:paraId="7E84F85B" w14:textId="77777777" w:rsidR="00166A72" w:rsidRPr="00166A72" w:rsidRDefault="00166A72" w:rsidP="00166A72">
      <w:pPr>
        <w:spacing w:after="160"/>
        <w:jc w:val="left"/>
        <w:rPr>
          <w:lang w:val="de-DE" w:bidi="en-US"/>
        </w:rPr>
      </w:pPr>
      <w:r w:rsidRPr="00166A72">
        <w:rPr>
          <w:lang w:val="de-DE" w:bidi="en-US"/>
        </w:rPr>
        <w:lastRenderedPageBreak/>
        <w:t>Das wäre zum Beispiel der Fall, wenn man für den Bau einer Neuanlage die Emissionsbegrenzung im unteren Bereich der Bandbreite festlegt, für Bestandsanlagen aber aus Verhältnismäßigkeitsgründen ein Wert an der oberen Grenze der Bandbreite festlegt werden muss.</w:t>
      </w:r>
    </w:p>
    <w:p w14:paraId="4E38A874" w14:textId="3148216C" w:rsidR="00166A72" w:rsidRPr="00166A72" w:rsidRDefault="00166A72" w:rsidP="00166A72">
      <w:pPr>
        <w:spacing w:after="160"/>
        <w:jc w:val="left"/>
        <w:rPr>
          <w:lang w:val="de-DE" w:bidi="en-US"/>
        </w:rPr>
      </w:pPr>
      <w:r w:rsidRPr="00166A72">
        <w:rPr>
          <w:lang w:val="de-DE" w:bidi="en-US"/>
        </w:rPr>
        <w:t xml:space="preserve">Hier bedarf es daher einer eindeutigen Klarstellung, dass für solche Fallkonstellationen </w:t>
      </w:r>
      <w:r w:rsidR="009224F5">
        <w:rPr>
          <w:lang w:val="de-DE" w:bidi="en-US"/>
        </w:rPr>
        <w:t>das komplexe,</w:t>
      </w:r>
      <w:r w:rsidRPr="00166A72">
        <w:rPr>
          <w:lang w:val="de-DE" w:bidi="en-US"/>
        </w:rPr>
        <w:t xml:space="preserve"> europarechtliches Ausnahmeverfahren </w:t>
      </w:r>
      <w:r w:rsidR="002C068D">
        <w:rPr>
          <w:lang w:val="de-DE" w:bidi="en-US"/>
        </w:rPr>
        <w:t xml:space="preserve">nicht </w:t>
      </w:r>
      <w:r w:rsidRPr="00166A72">
        <w:rPr>
          <w:lang w:val="de-DE" w:bidi="en-US"/>
        </w:rPr>
        <w:t>notwendig ist. Damit wird auch der Verwaltungsvollzug erleichtert.</w:t>
      </w:r>
    </w:p>
    <w:p w14:paraId="6EA34B78" w14:textId="145B8B29" w:rsidR="00166A72" w:rsidRPr="00166A72" w:rsidRDefault="00166A72" w:rsidP="00166A72">
      <w:pPr>
        <w:spacing w:after="160"/>
        <w:jc w:val="left"/>
        <w:rPr>
          <w:lang w:val="de-DE" w:bidi="en-US"/>
        </w:rPr>
      </w:pPr>
      <w:r w:rsidRPr="00166A72">
        <w:rPr>
          <w:lang w:val="de-DE" w:bidi="en-US"/>
        </w:rPr>
        <w:t xml:space="preserve">Das dies auch europarechtlich gewollt ist, </w:t>
      </w:r>
      <w:r w:rsidR="00283B61">
        <w:rPr>
          <w:lang w:val="de-DE" w:bidi="en-US"/>
        </w:rPr>
        <w:t>zeigt</w:t>
      </w:r>
      <w:r w:rsidRPr="00166A72">
        <w:rPr>
          <w:lang w:val="de-DE" w:bidi="en-US"/>
        </w:rPr>
        <w:t xml:space="preserve"> Erwägungsgrund 29 letzter Satz IED, in dem es heißt:</w:t>
      </w:r>
    </w:p>
    <w:p w14:paraId="714A1AAA" w14:textId="0DBD4BD7" w:rsidR="00FA3FF3" w:rsidRPr="00166A72" w:rsidRDefault="00166A72" w:rsidP="00166A72">
      <w:pPr>
        <w:spacing w:after="160"/>
        <w:jc w:val="left"/>
        <w:rPr>
          <w:i/>
          <w:iCs/>
          <w:lang w:val="de-DE" w:bidi="en-US"/>
        </w:rPr>
      </w:pPr>
      <w:r w:rsidRPr="00166A72">
        <w:rPr>
          <w:i/>
          <w:iCs/>
          <w:lang w:val="de-DE" w:bidi="en-US"/>
        </w:rPr>
        <w:t>„Bei der Festlegung von Emissionsgrenzwerten innerhalb der Spanne der BVT-assoziierten Emissionswerte sollte das Ausnahmeverfahren nicht anwendbar sein.“</w:t>
      </w:r>
    </w:p>
    <w:p w14:paraId="4F127447" w14:textId="19000B13" w:rsidR="00AE29BA" w:rsidRDefault="00F007A7" w:rsidP="00AE29BA">
      <w:pPr>
        <w:pStyle w:val="berschrift1"/>
        <w:rPr>
          <w:lang w:val="de-DE"/>
        </w:rPr>
      </w:pPr>
      <w:bookmarkStart w:id="20" w:name="_Toc187072912"/>
      <w:r>
        <w:rPr>
          <w:lang w:val="de-DE"/>
        </w:rPr>
        <w:t>1</w:t>
      </w:r>
      <w:r w:rsidR="00AE29BA">
        <w:rPr>
          <w:lang w:val="de-DE"/>
        </w:rPr>
        <w:t>.</w:t>
      </w:r>
      <w:r w:rsidR="00065795">
        <w:rPr>
          <w:lang w:val="de-DE"/>
        </w:rPr>
        <w:t>10</w:t>
      </w:r>
      <w:r w:rsidR="00AE29BA" w:rsidRPr="00091C0D">
        <w:rPr>
          <w:lang w:val="de-DE"/>
        </w:rPr>
        <w:t xml:space="preserve"> </w:t>
      </w:r>
      <w:r w:rsidR="00FA2572" w:rsidRPr="00FA2572">
        <w:rPr>
          <w:lang w:val="de-DE"/>
        </w:rPr>
        <w:t xml:space="preserve">Ausnahmereglungen zum Krisenfall </w:t>
      </w:r>
      <w:r w:rsidR="00806212">
        <w:rPr>
          <w:lang w:val="de-DE"/>
        </w:rPr>
        <w:t>umsetzen (§ 7 BImSchG)</w:t>
      </w:r>
      <w:bookmarkEnd w:id="20"/>
    </w:p>
    <w:p w14:paraId="71312E0A" w14:textId="6CE58D1C" w:rsidR="00FA2572" w:rsidRPr="00FA2572" w:rsidRDefault="00FA2572" w:rsidP="00FA2572">
      <w:pPr>
        <w:spacing w:after="160"/>
        <w:jc w:val="left"/>
        <w:rPr>
          <w:lang w:val="de-DE" w:bidi="en-US"/>
        </w:rPr>
      </w:pPr>
      <w:r w:rsidRPr="00FA2572">
        <w:rPr>
          <w:lang w:val="de-DE" w:bidi="en-US"/>
        </w:rPr>
        <w:t>Art. 15 Abs. 7 IED legt Ausnahmebestimmungen für bestimmte „Krisenfälle“ fest</w:t>
      </w:r>
      <w:r w:rsidR="006A79D8">
        <w:rPr>
          <w:lang w:val="de-DE" w:bidi="en-US"/>
        </w:rPr>
        <w:t xml:space="preserve"> (z. B </w:t>
      </w:r>
      <w:r w:rsidR="00E156AD">
        <w:rPr>
          <w:lang w:val="de-DE" w:bidi="en-US"/>
        </w:rPr>
        <w:t>Störung der Energieversorgung oder Ressourcenmangel)</w:t>
      </w:r>
      <w:r w:rsidRPr="00FA2572">
        <w:rPr>
          <w:lang w:val="de-DE" w:bidi="en-US"/>
        </w:rPr>
        <w:t xml:space="preserve">. Diese </w:t>
      </w:r>
      <w:r w:rsidR="00E156AD">
        <w:rPr>
          <w:lang w:val="de-DE" w:bidi="en-US"/>
        </w:rPr>
        <w:t xml:space="preserve">Ausnahmeregelungen </w:t>
      </w:r>
      <w:r w:rsidRPr="00FA2572">
        <w:rPr>
          <w:lang w:val="de-DE" w:bidi="en-US"/>
        </w:rPr>
        <w:t>fehlen bisher im Gesetzentwurf und sollten ergänzt werden.</w:t>
      </w:r>
    </w:p>
    <w:p w14:paraId="547AE550" w14:textId="15E987FB" w:rsidR="00FA2572" w:rsidRDefault="00FA2572" w:rsidP="00FA2572">
      <w:pPr>
        <w:spacing w:after="160"/>
        <w:jc w:val="left"/>
        <w:rPr>
          <w:lang w:val="de-DE" w:bidi="en-US"/>
        </w:rPr>
      </w:pPr>
      <w:r w:rsidRPr="00FA2572">
        <w:rPr>
          <w:lang w:val="de-DE" w:bidi="en-US"/>
        </w:rPr>
        <w:t xml:space="preserve">Die </w:t>
      </w:r>
      <w:r w:rsidR="00E156AD">
        <w:rPr>
          <w:lang w:val="de-DE" w:bidi="en-US"/>
        </w:rPr>
        <w:t>Ausnahme</w:t>
      </w:r>
      <w:r w:rsidR="001F342F">
        <w:rPr>
          <w:lang w:val="de-DE" w:bidi="en-US"/>
        </w:rPr>
        <w:t>tatbestände</w:t>
      </w:r>
      <w:r w:rsidR="00E156AD">
        <w:rPr>
          <w:lang w:val="de-DE" w:bidi="en-US"/>
        </w:rPr>
        <w:t xml:space="preserve"> für den Krisenfall sollten auch </w:t>
      </w:r>
      <w:r w:rsidRPr="00FA2572">
        <w:rPr>
          <w:lang w:val="de-DE" w:bidi="en-US"/>
        </w:rPr>
        <w:t xml:space="preserve">in </w:t>
      </w:r>
      <w:r w:rsidR="001F342F">
        <w:rPr>
          <w:lang w:val="de-DE" w:bidi="en-US"/>
        </w:rPr>
        <w:t xml:space="preserve">den folgenden Regelungen ergänzt werden: </w:t>
      </w:r>
      <w:r w:rsidRPr="00FA2572">
        <w:rPr>
          <w:lang w:val="de-DE" w:bidi="en-US"/>
        </w:rPr>
        <w:t>§ 12 Abs. 1b), § 17 Abs. 2b) und § 48 Abs. 1b).</w:t>
      </w:r>
    </w:p>
    <w:p w14:paraId="65C33E18" w14:textId="1EA2238A" w:rsidR="00AE29BA" w:rsidRDefault="00F007A7" w:rsidP="00AE29BA">
      <w:pPr>
        <w:pStyle w:val="berschrift1"/>
        <w:rPr>
          <w:lang w:val="de-DE"/>
        </w:rPr>
      </w:pPr>
      <w:bookmarkStart w:id="21" w:name="_Toc187072913"/>
      <w:r>
        <w:rPr>
          <w:lang w:val="de-DE"/>
        </w:rPr>
        <w:t>1</w:t>
      </w:r>
      <w:r w:rsidR="00AE29BA">
        <w:rPr>
          <w:lang w:val="de-DE"/>
        </w:rPr>
        <w:t>.</w:t>
      </w:r>
      <w:r>
        <w:rPr>
          <w:lang w:val="de-DE"/>
        </w:rPr>
        <w:t>1</w:t>
      </w:r>
      <w:r w:rsidR="00065795">
        <w:rPr>
          <w:lang w:val="de-DE"/>
        </w:rPr>
        <w:t>1</w:t>
      </w:r>
      <w:r w:rsidR="00AE29BA" w:rsidRPr="00091C0D">
        <w:rPr>
          <w:lang w:val="de-DE"/>
        </w:rPr>
        <w:t xml:space="preserve"> </w:t>
      </w:r>
      <w:r w:rsidR="001864E4" w:rsidRPr="001864E4">
        <w:rPr>
          <w:lang w:val="de-DE"/>
        </w:rPr>
        <w:t xml:space="preserve">Tiefgreifende industrielle Transformation </w:t>
      </w:r>
      <w:r w:rsidR="00B73D14">
        <w:rPr>
          <w:lang w:val="de-DE"/>
        </w:rPr>
        <w:t>umfassend</w:t>
      </w:r>
      <w:r w:rsidR="00F52886">
        <w:rPr>
          <w:lang w:val="de-DE"/>
        </w:rPr>
        <w:t xml:space="preserve"> umsetzen </w:t>
      </w:r>
      <w:r w:rsidR="00F77C8C">
        <w:rPr>
          <w:lang w:val="de-DE"/>
        </w:rPr>
        <w:t>(</w:t>
      </w:r>
      <w:r w:rsidR="001E1CBD">
        <w:rPr>
          <w:lang w:val="de-DE"/>
        </w:rPr>
        <w:t>§</w:t>
      </w:r>
      <w:r w:rsidR="00F77C8C">
        <w:rPr>
          <w:lang w:val="de-DE"/>
        </w:rPr>
        <w:t>§ 7</w:t>
      </w:r>
      <w:r w:rsidR="001E1CBD">
        <w:rPr>
          <w:lang w:val="de-DE"/>
        </w:rPr>
        <w:t xml:space="preserve">, 12, 17, 48 </w:t>
      </w:r>
      <w:r w:rsidR="00F77C8C">
        <w:rPr>
          <w:lang w:val="de-DE"/>
        </w:rPr>
        <w:t>BImSchG)</w:t>
      </w:r>
      <w:bookmarkEnd w:id="21"/>
    </w:p>
    <w:p w14:paraId="77210F10" w14:textId="46B057A3" w:rsidR="007151F6" w:rsidRDefault="001E0448" w:rsidP="00F03B6F">
      <w:pPr>
        <w:pStyle w:val="berschrift1"/>
        <w:numPr>
          <w:ilvl w:val="0"/>
          <w:numId w:val="7"/>
        </w:numPr>
        <w:rPr>
          <w:lang w:val="de-DE"/>
        </w:rPr>
      </w:pPr>
      <w:bookmarkStart w:id="22" w:name="_Hlk157178918"/>
      <w:bookmarkStart w:id="23" w:name="_Toc187072914"/>
      <w:r w:rsidRPr="001E0448">
        <w:rPr>
          <w:lang w:val="de-DE"/>
        </w:rPr>
        <w:t xml:space="preserve">Anlagenersetzung auch räumlich abweichend vom ursprünglichen Anlagenstandort </w:t>
      </w:r>
      <w:r w:rsidR="006575AF">
        <w:rPr>
          <w:lang w:val="de-DE"/>
        </w:rPr>
        <w:t>er</w:t>
      </w:r>
      <w:r w:rsidRPr="001E0448">
        <w:rPr>
          <w:lang w:val="de-DE"/>
        </w:rPr>
        <w:t>möglich</w:t>
      </w:r>
      <w:r w:rsidR="006575AF">
        <w:rPr>
          <w:lang w:val="de-DE"/>
        </w:rPr>
        <w:t>en</w:t>
      </w:r>
      <w:bookmarkEnd w:id="23"/>
    </w:p>
    <w:p w14:paraId="0387EF8A" w14:textId="5406EC15" w:rsidR="0004124B" w:rsidRDefault="001E0448" w:rsidP="003E4C2F">
      <w:pPr>
        <w:spacing w:after="160"/>
        <w:jc w:val="left"/>
        <w:rPr>
          <w:lang w:val="de-DE" w:bidi="en-US"/>
        </w:rPr>
      </w:pPr>
      <w:r w:rsidRPr="0004124B">
        <w:rPr>
          <w:lang w:val="de-DE" w:bidi="en-US"/>
        </w:rPr>
        <w:t>Es muss sichergestellt werden, dass für den Fall einer Anlagenersetzung (z. B. § 7 Abs. 1b) Nr. 2) die neue Anlage räumlich an einem anderen Standort errichtet werden kann</w:t>
      </w:r>
      <w:r w:rsidR="004237B5">
        <w:rPr>
          <w:lang w:val="de-DE" w:bidi="en-US"/>
        </w:rPr>
        <w:t xml:space="preserve">. </w:t>
      </w:r>
      <w:r w:rsidR="004237B5" w:rsidRPr="00AE0B52">
        <w:rPr>
          <w:highlight w:val="cyan"/>
          <w:lang w:val="de-DE" w:bidi="en-US"/>
        </w:rPr>
        <w:t>Ausschlaggebend sollte lediglich sein, dass der Ersatz innerhalb desselben Unternehmens bzw. innerhalb von verbundenen Unternehmen wie z.B. Projektgesellschaften erfolgt.</w:t>
      </w:r>
      <w:r w:rsidRPr="0004124B">
        <w:rPr>
          <w:lang w:val="de-DE" w:bidi="en-US"/>
        </w:rPr>
        <w:t xml:space="preserve"> </w:t>
      </w:r>
      <w:r w:rsidRPr="00AE0B52">
        <w:rPr>
          <w:strike/>
          <w:highlight w:val="cyan"/>
          <w:lang w:val="de-DE" w:bidi="en-US"/>
        </w:rPr>
        <w:t>solange der Betreiber identisch bleibt.</w:t>
      </w:r>
      <w:r w:rsidRPr="0004124B">
        <w:rPr>
          <w:lang w:val="de-DE" w:bidi="en-US"/>
        </w:rPr>
        <w:t xml:space="preserve"> Eine europarechtliche Beschränkung auf den Standort der bestehenden Anlage ist nicht ersichtlich.</w:t>
      </w:r>
    </w:p>
    <w:p w14:paraId="2A03B446" w14:textId="77777777" w:rsidR="0004124B" w:rsidRDefault="00E35E69" w:rsidP="003E4C2F">
      <w:pPr>
        <w:spacing w:after="160"/>
        <w:jc w:val="left"/>
        <w:rPr>
          <w:lang w:val="de-DE" w:bidi="en-US"/>
        </w:rPr>
      </w:pPr>
      <w:r w:rsidRPr="0004124B">
        <w:rPr>
          <w:lang w:val="de-DE"/>
        </w:rPr>
        <w:t xml:space="preserve">Möglichst viele Anlagen sollten die Regelung zur „Deep Industrial Transformation“ nutzen können. </w:t>
      </w:r>
    </w:p>
    <w:p w14:paraId="317C89D6" w14:textId="778AFC73" w:rsidR="00E35E69" w:rsidRPr="0004124B" w:rsidRDefault="00E35E69" w:rsidP="003E4C2F">
      <w:pPr>
        <w:spacing w:after="160"/>
        <w:jc w:val="left"/>
        <w:rPr>
          <w:lang w:val="de-DE" w:bidi="en-US"/>
        </w:rPr>
      </w:pPr>
      <w:r w:rsidRPr="0004124B">
        <w:rPr>
          <w:lang w:val="de-DE"/>
        </w:rPr>
        <w:t>Beispielsweise sind alle Anlagen, deren Stilllegung gesetzlich bereits konkret und anlagenscharf geregelt ist (z. B nach dem Kohleverstromungsbeendigungsgesetz, KVBG) Anlagen, die sich in einem tiefgreifenden industriellen Wandel im Sinne von Art. 27e Absatz 2 IED befinden. Ein Ersatz</w:t>
      </w:r>
      <w:r>
        <w:rPr>
          <w:rStyle w:val="Funotenzeichen"/>
          <w:lang w:val="de-DE"/>
        </w:rPr>
        <w:footnoteReference w:id="1"/>
      </w:r>
      <w:r w:rsidRPr="0004124B">
        <w:rPr>
          <w:lang w:val="de-DE"/>
        </w:rPr>
        <w:t xml:space="preserve"> der stillzulegenden Anlage im Sinne des Art. 27e Absatz 2 IED ist immer dann anzunehmen, wenn die betroffene Anlage durch eine neue Anlage (z.B.: H2-GTKW, Elektrolyseur, Speicher, Rückverstromungseinheit, EE-Anlage, o.Ä.) im räumlichen Zusammenhang</w:t>
      </w:r>
      <w:r w:rsidRPr="00BF3CB1">
        <w:rPr>
          <w:rStyle w:val="Funotenzeichen"/>
          <w:lang w:val="de-DE"/>
        </w:rPr>
        <w:footnoteReference w:id="2"/>
      </w:r>
      <w:r w:rsidRPr="0004124B">
        <w:rPr>
          <w:lang w:val="de-DE"/>
        </w:rPr>
        <w:t xml:space="preserve"> zu dem bisherigen Anlagen-</w:t>
      </w:r>
      <w:r w:rsidRPr="0004124B">
        <w:rPr>
          <w:lang w:val="de-DE"/>
        </w:rPr>
        <w:lastRenderedPageBreak/>
        <w:t>Standort ersetzt wird. Bei der Anwendung von Artikel 27e Absatz 2 IED muss der räumliche, sachliche, gesellschaftsrechtliche sowie zeitliche Zusammenhang zwischen Stilllegung und Ersatz der Anlage jedoch weit ausgelegt werden. Eine Einzelfall-Bewertung unter Würdigung der jeweils gegebenen Umstände ist für die sach- und zweckgemäße Anwendung von Artikel 27e Absatz 2 IED unabdingbar.</w:t>
      </w:r>
    </w:p>
    <w:p w14:paraId="11C0A4AC" w14:textId="6EDA02BB" w:rsidR="00E35E69" w:rsidRDefault="00E35E69" w:rsidP="00F03B6F">
      <w:pPr>
        <w:pStyle w:val="berschrift1"/>
        <w:numPr>
          <w:ilvl w:val="0"/>
          <w:numId w:val="8"/>
        </w:numPr>
        <w:rPr>
          <w:lang w:val="de-DE"/>
        </w:rPr>
      </w:pPr>
      <w:bookmarkStart w:id="24" w:name="_Toc187072915"/>
      <w:bookmarkEnd w:id="22"/>
      <w:r>
        <w:rPr>
          <w:lang w:val="de-DE"/>
        </w:rPr>
        <w:t xml:space="preserve">8-Jahres-Frist </w:t>
      </w:r>
      <w:r w:rsidR="009C63C7">
        <w:rPr>
          <w:lang w:val="de-DE"/>
        </w:rPr>
        <w:t xml:space="preserve">zur Transformation </w:t>
      </w:r>
      <w:r>
        <w:rPr>
          <w:lang w:val="de-DE"/>
        </w:rPr>
        <w:t>als Regel</w:t>
      </w:r>
      <w:r w:rsidR="001B6BFD">
        <w:rPr>
          <w:lang w:val="de-DE"/>
        </w:rPr>
        <w:t>fall ausgestalten</w:t>
      </w:r>
      <w:bookmarkEnd w:id="24"/>
    </w:p>
    <w:p w14:paraId="61A46EED" w14:textId="56A44809" w:rsidR="00C87959" w:rsidRDefault="001E0448" w:rsidP="003E4C2F">
      <w:pPr>
        <w:rPr>
          <w:lang w:val="de-DE"/>
        </w:rPr>
      </w:pPr>
      <w:r w:rsidRPr="00867A36">
        <w:rPr>
          <w:lang w:val="de-DE" w:bidi="en-US"/>
        </w:rPr>
        <w:t xml:space="preserve">Das Ermessen der Behörde </w:t>
      </w:r>
      <w:r w:rsidR="00167EDC">
        <w:rPr>
          <w:lang w:val="de-DE" w:bidi="en-US"/>
        </w:rPr>
        <w:t xml:space="preserve">in § </w:t>
      </w:r>
      <w:r w:rsidR="00B14DBE">
        <w:rPr>
          <w:lang w:val="de-DE" w:bidi="en-US"/>
        </w:rPr>
        <w:t xml:space="preserve">7 Abs. </w:t>
      </w:r>
      <w:r w:rsidR="004248F5">
        <w:rPr>
          <w:lang w:val="de-DE" w:bidi="en-US"/>
        </w:rPr>
        <w:t xml:space="preserve">1b Nr. 1 </w:t>
      </w:r>
      <w:r w:rsidR="00855413">
        <w:rPr>
          <w:lang w:val="de-DE" w:bidi="en-US"/>
        </w:rPr>
        <w:t>und Nr. 2 BImSchG</w:t>
      </w:r>
      <w:r w:rsidR="00167EDC">
        <w:rPr>
          <w:lang w:val="de-DE" w:bidi="en-US"/>
        </w:rPr>
        <w:t xml:space="preserve"> </w:t>
      </w:r>
      <w:r w:rsidR="00B14DBE">
        <w:rPr>
          <w:lang w:val="de-DE" w:bidi="en-US"/>
        </w:rPr>
        <w:t>(</w:t>
      </w:r>
      <w:r w:rsidRPr="00867A36">
        <w:rPr>
          <w:lang w:val="de-DE" w:bidi="en-US"/>
        </w:rPr>
        <w:t>aus Art. 27e IED</w:t>
      </w:r>
      <w:r w:rsidR="00B14DBE">
        <w:rPr>
          <w:lang w:val="de-DE" w:bidi="en-US"/>
        </w:rPr>
        <w:t>)</w:t>
      </w:r>
      <w:r w:rsidR="001B6BFD">
        <w:rPr>
          <w:lang w:val="de-DE" w:bidi="en-US"/>
        </w:rPr>
        <w:t>,</w:t>
      </w:r>
      <w:r w:rsidRPr="00867A36">
        <w:rPr>
          <w:lang w:val="de-DE" w:bidi="en-US"/>
        </w:rPr>
        <w:t xml:space="preserve"> die Umsetzungsfrist des BVT auf 8 Jahre zu verlängern bzw. die Ersetzung der Anlage innerhalb des 8-Jahres-Zeitraums abzuschließen, sollte als </w:t>
      </w:r>
      <w:r w:rsidR="00D75843">
        <w:rPr>
          <w:lang w:val="de-DE" w:bidi="en-US"/>
        </w:rPr>
        <w:t xml:space="preserve">verbindlicher </w:t>
      </w:r>
      <w:r w:rsidRPr="00867A36">
        <w:rPr>
          <w:lang w:val="de-DE" w:bidi="en-US"/>
        </w:rPr>
        <w:t>Regelfall</w:t>
      </w:r>
      <w:r w:rsidR="00D75843">
        <w:rPr>
          <w:lang w:val="de-DE" w:bidi="en-US"/>
        </w:rPr>
        <w:t xml:space="preserve"> </w:t>
      </w:r>
      <w:r w:rsidR="00D75843" w:rsidRPr="00BF3CB1">
        <w:rPr>
          <w:lang w:val="de-DE"/>
        </w:rPr>
        <w:t>(„Soll“-Regelung</w:t>
      </w:r>
      <w:r w:rsidR="00D75843">
        <w:rPr>
          <w:lang w:val="de-DE"/>
        </w:rPr>
        <w:t>)</w:t>
      </w:r>
      <w:r w:rsidRPr="00867A36">
        <w:rPr>
          <w:lang w:val="de-DE" w:bidi="en-US"/>
        </w:rPr>
        <w:t xml:space="preserve"> ausgestaltet werden. </w:t>
      </w:r>
    </w:p>
    <w:p w14:paraId="71A4446A" w14:textId="7C4067A4" w:rsidR="001E0448" w:rsidRDefault="001E0448" w:rsidP="003E4C2F">
      <w:pPr>
        <w:rPr>
          <w:lang w:val="de-DE"/>
        </w:rPr>
      </w:pPr>
      <w:r w:rsidRPr="00867A36">
        <w:rPr>
          <w:lang w:val="de-DE" w:bidi="en-US"/>
        </w:rPr>
        <w:t xml:space="preserve">Es sollte nicht im freien Ermessen der Behörde liegen, die industriellen Transformationsprojekte der Betreiber zu bewerten und über Umsetzungs-/Umbauzeiten zu entscheiden.  </w:t>
      </w:r>
    </w:p>
    <w:p w14:paraId="1B7CE737" w14:textId="7B2249ED" w:rsidR="00477522" w:rsidRDefault="00167EDC" w:rsidP="003E4C2F">
      <w:pPr>
        <w:rPr>
          <w:lang w:val="de-DE"/>
        </w:rPr>
      </w:pPr>
      <w:r>
        <w:rPr>
          <w:lang w:val="de-DE"/>
        </w:rPr>
        <w:t>Dies ist ein wichtiges Signal an die Industrie und gibt Rechtssicherheit für den Umbau oder die Stilllegung von Anlagen im Rahmen von Transformationsprojekten</w:t>
      </w:r>
    </w:p>
    <w:p w14:paraId="034D388E" w14:textId="38DCCCA3" w:rsidR="00BE7E47" w:rsidRPr="0016214A" w:rsidRDefault="00545B8D" w:rsidP="00BE7E47">
      <w:pPr>
        <w:pStyle w:val="berschrift1"/>
        <w:numPr>
          <w:ilvl w:val="0"/>
          <w:numId w:val="8"/>
        </w:numPr>
        <w:rPr>
          <w:highlight w:val="cyan"/>
          <w:lang w:val="de-DE"/>
        </w:rPr>
      </w:pPr>
      <w:bookmarkStart w:id="25" w:name="_Toc187072916"/>
      <w:r>
        <w:rPr>
          <w:highlight w:val="cyan"/>
          <w:lang w:val="de-DE"/>
        </w:rPr>
        <w:t>Tiefgreifende industrielle Transformation</w:t>
      </w:r>
      <w:r w:rsidR="00BE7E47" w:rsidRPr="0016214A">
        <w:rPr>
          <w:highlight w:val="cyan"/>
          <w:lang w:val="de-DE"/>
        </w:rPr>
        <w:t xml:space="preserve"> </w:t>
      </w:r>
      <w:r w:rsidR="00F31F73" w:rsidRPr="0016214A">
        <w:rPr>
          <w:highlight w:val="cyan"/>
          <w:lang w:val="de-DE"/>
        </w:rPr>
        <w:t>als Sollvorschrift ausgestalten</w:t>
      </w:r>
      <w:bookmarkEnd w:id="25"/>
    </w:p>
    <w:p w14:paraId="3D6631BE" w14:textId="6F11AC58" w:rsidR="00880657" w:rsidRPr="0016214A" w:rsidRDefault="00555785" w:rsidP="003E4C2F">
      <w:pPr>
        <w:rPr>
          <w:highlight w:val="cyan"/>
          <w:lang w:val="de-DE" w:bidi="en-US"/>
        </w:rPr>
      </w:pPr>
      <w:r w:rsidRPr="0016214A">
        <w:rPr>
          <w:highlight w:val="cyan"/>
          <w:lang w:val="de-DE" w:bidi="en-US"/>
        </w:rPr>
        <w:t xml:space="preserve">Die Fristverlängerung zur BVT-Umsetzung bei tiefgreifender industrieller Transformation um höchstens 8 Jahre </w:t>
      </w:r>
      <w:r w:rsidR="00482C54" w:rsidRPr="0016214A">
        <w:rPr>
          <w:highlight w:val="cyan"/>
          <w:lang w:val="de-DE" w:bidi="en-US"/>
        </w:rPr>
        <w:t xml:space="preserve">sollte als </w:t>
      </w:r>
      <w:r w:rsidR="0016214A" w:rsidRPr="0016214A">
        <w:rPr>
          <w:highlight w:val="cyan"/>
          <w:lang w:val="de-DE" w:bidi="en-US"/>
        </w:rPr>
        <w:t>„</w:t>
      </w:r>
      <w:r w:rsidR="00482C54" w:rsidRPr="0016214A">
        <w:rPr>
          <w:highlight w:val="cyan"/>
          <w:lang w:val="de-DE" w:bidi="en-US"/>
        </w:rPr>
        <w:t>Soll-Vorschrift</w:t>
      </w:r>
      <w:r w:rsidR="0016214A" w:rsidRPr="0016214A">
        <w:rPr>
          <w:highlight w:val="cyan"/>
          <w:lang w:val="de-DE" w:bidi="en-US"/>
        </w:rPr>
        <w:t>“</w:t>
      </w:r>
      <w:r w:rsidR="00482C54" w:rsidRPr="0016214A">
        <w:rPr>
          <w:highlight w:val="cyan"/>
          <w:lang w:val="de-DE" w:bidi="en-US"/>
        </w:rPr>
        <w:t xml:space="preserve"> und nicht als </w:t>
      </w:r>
      <w:r w:rsidR="0016214A" w:rsidRPr="0016214A">
        <w:rPr>
          <w:highlight w:val="cyan"/>
          <w:lang w:val="de-DE" w:bidi="en-US"/>
        </w:rPr>
        <w:t>„</w:t>
      </w:r>
      <w:r w:rsidR="00482C54" w:rsidRPr="0016214A">
        <w:rPr>
          <w:highlight w:val="cyan"/>
          <w:lang w:val="de-DE" w:bidi="en-US"/>
        </w:rPr>
        <w:t>Kann-Vorschrift</w:t>
      </w:r>
      <w:r w:rsidR="0016214A" w:rsidRPr="0016214A">
        <w:rPr>
          <w:highlight w:val="cyan"/>
          <w:lang w:val="de-DE" w:bidi="en-US"/>
        </w:rPr>
        <w:t>“</w:t>
      </w:r>
      <w:r w:rsidR="00482C54" w:rsidRPr="0016214A">
        <w:rPr>
          <w:highlight w:val="cyan"/>
          <w:lang w:val="de-DE" w:bidi="en-US"/>
        </w:rPr>
        <w:t xml:space="preserve"> ausgestaltet werden (§§ 7 </w:t>
      </w:r>
      <w:r w:rsidR="00336727" w:rsidRPr="0016214A">
        <w:rPr>
          <w:highlight w:val="cyan"/>
          <w:lang w:val="de-DE" w:bidi="en-US"/>
        </w:rPr>
        <w:t xml:space="preserve">Abs. 1b, 12, 17, 48 BImSchG). </w:t>
      </w:r>
    </w:p>
    <w:p w14:paraId="148F1167" w14:textId="09FE6272" w:rsidR="00880657" w:rsidRPr="00F112F0" w:rsidRDefault="0016214A" w:rsidP="003E4C2F">
      <w:pPr>
        <w:rPr>
          <w:highlight w:val="cyan"/>
          <w:lang w:val="de-DE" w:bidi="en-US"/>
        </w:rPr>
      </w:pPr>
      <w:r w:rsidRPr="0016214A">
        <w:rPr>
          <w:highlight w:val="cyan"/>
          <w:lang w:val="de-DE" w:bidi="en-US"/>
        </w:rPr>
        <w:t xml:space="preserve">Die Kann-Regelung </w:t>
      </w:r>
      <w:r w:rsidR="00880657" w:rsidRPr="0016214A">
        <w:rPr>
          <w:highlight w:val="cyan"/>
          <w:lang w:val="de-DE" w:bidi="en-US"/>
        </w:rPr>
        <w:t>gibt den betroffenen Unternehmen keine Planungssicherheit, dass die Transformation betroffener Anlagen möglich ist. Es droh</w:t>
      </w:r>
      <w:r w:rsidRPr="0016214A">
        <w:rPr>
          <w:highlight w:val="cyan"/>
          <w:lang w:val="de-DE" w:bidi="en-US"/>
        </w:rPr>
        <w:t>en</w:t>
      </w:r>
      <w:r w:rsidR="00880657" w:rsidRPr="0016214A">
        <w:rPr>
          <w:highlight w:val="cyan"/>
          <w:lang w:val="de-DE" w:bidi="en-US"/>
        </w:rPr>
        <w:t xml:space="preserve"> Produktionsverlagerung</w:t>
      </w:r>
      <w:r w:rsidRPr="0016214A">
        <w:rPr>
          <w:highlight w:val="cyan"/>
          <w:lang w:val="de-DE" w:bidi="en-US"/>
        </w:rPr>
        <w:t>en</w:t>
      </w:r>
      <w:r w:rsidR="00880657" w:rsidRPr="0016214A">
        <w:rPr>
          <w:highlight w:val="cyan"/>
          <w:lang w:val="de-DE" w:bidi="en-US"/>
        </w:rPr>
        <w:t xml:space="preserve"> in andere EU-Länder/ Drittstaate</w:t>
      </w:r>
      <w:r w:rsidR="00880657" w:rsidRPr="00F112F0">
        <w:rPr>
          <w:highlight w:val="cyan"/>
          <w:lang w:val="de-DE" w:bidi="en-US"/>
        </w:rPr>
        <w:t>n</w:t>
      </w:r>
      <w:r w:rsidRPr="00F112F0">
        <w:rPr>
          <w:highlight w:val="cyan"/>
          <w:lang w:val="de-DE" w:bidi="en-US"/>
        </w:rPr>
        <w:t>.</w:t>
      </w:r>
    </w:p>
    <w:p w14:paraId="2EFBC1D4" w14:textId="746AADDD" w:rsidR="0016214A" w:rsidRPr="00F112F0" w:rsidRDefault="0016214A" w:rsidP="00545B8D">
      <w:pPr>
        <w:pStyle w:val="berschrift1"/>
        <w:rPr>
          <w:highlight w:val="cyan"/>
          <w:lang w:val="de-DE"/>
        </w:rPr>
      </w:pPr>
      <w:bookmarkStart w:id="26" w:name="_Toc187072917"/>
      <w:r w:rsidRPr="00F112F0">
        <w:rPr>
          <w:highlight w:val="cyan"/>
          <w:lang w:val="de-DE"/>
        </w:rPr>
        <w:t>1.1</w:t>
      </w:r>
      <w:r w:rsidR="00DB4818" w:rsidRPr="00F112F0">
        <w:rPr>
          <w:highlight w:val="cyan"/>
          <w:lang w:val="de-DE"/>
        </w:rPr>
        <w:t>2</w:t>
      </w:r>
      <w:r w:rsidRPr="00F112F0">
        <w:rPr>
          <w:highlight w:val="cyan"/>
          <w:lang w:val="de-DE"/>
        </w:rPr>
        <w:t xml:space="preserve"> </w:t>
      </w:r>
      <w:bookmarkStart w:id="27" w:name="_Hlk186797352"/>
      <w:r w:rsidR="00DB4818" w:rsidRPr="00F112F0">
        <w:rPr>
          <w:highlight w:val="cyan"/>
          <w:lang w:val="de-DE"/>
        </w:rPr>
        <w:t>Ausnahmevorschrift Zukunftstechniken als Soll-Vorschrift etablieren</w:t>
      </w:r>
      <w:r w:rsidRPr="00F112F0">
        <w:rPr>
          <w:highlight w:val="cyan"/>
          <w:lang w:val="de-DE"/>
        </w:rPr>
        <w:t xml:space="preserve"> </w:t>
      </w:r>
      <w:bookmarkEnd w:id="27"/>
      <w:r w:rsidRPr="00F112F0">
        <w:rPr>
          <w:highlight w:val="cyan"/>
          <w:lang w:val="de-DE"/>
        </w:rPr>
        <w:t>(§§ 7, 12, 17, 48 BImSchG)</w:t>
      </w:r>
      <w:bookmarkEnd w:id="26"/>
    </w:p>
    <w:p w14:paraId="315F4182" w14:textId="47E11629" w:rsidR="00DF1A60" w:rsidRPr="00F112F0" w:rsidRDefault="006C7B23" w:rsidP="00394D5C">
      <w:pPr>
        <w:rPr>
          <w:highlight w:val="cyan"/>
          <w:lang w:val="de-DE"/>
        </w:rPr>
      </w:pPr>
      <w:r w:rsidRPr="00F112F0">
        <w:rPr>
          <w:highlight w:val="cyan"/>
          <w:lang w:val="de-DE"/>
        </w:rPr>
        <w:t>Die Regelung, wonach bei Anwendung von Zukunftstechniken</w:t>
      </w:r>
      <w:r w:rsidR="009740A8" w:rsidRPr="00F112F0">
        <w:rPr>
          <w:highlight w:val="cyan"/>
          <w:lang w:val="de-DE"/>
        </w:rPr>
        <w:t xml:space="preserve">, abweichende </w:t>
      </w:r>
      <w:r w:rsidR="008C79B2" w:rsidRPr="00F112F0">
        <w:rPr>
          <w:highlight w:val="cyan"/>
          <w:lang w:val="de-DE"/>
        </w:rPr>
        <w:t xml:space="preserve">Vorgaben (z. B. </w:t>
      </w:r>
      <w:r w:rsidR="009740A8" w:rsidRPr="00F112F0">
        <w:rPr>
          <w:highlight w:val="cyan"/>
          <w:lang w:val="de-DE"/>
        </w:rPr>
        <w:t xml:space="preserve">Emissionsbegrenzungen </w:t>
      </w:r>
      <w:r w:rsidR="008C79B2" w:rsidRPr="00F112F0">
        <w:rPr>
          <w:highlight w:val="cyan"/>
          <w:lang w:val="de-DE"/>
        </w:rPr>
        <w:t>oder</w:t>
      </w:r>
      <w:r w:rsidR="009740A8" w:rsidRPr="00F112F0">
        <w:rPr>
          <w:highlight w:val="cyan"/>
          <w:lang w:val="de-DE"/>
        </w:rPr>
        <w:t xml:space="preserve"> Fristen</w:t>
      </w:r>
      <w:r w:rsidR="008C79B2" w:rsidRPr="00F112F0">
        <w:rPr>
          <w:highlight w:val="cyan"/>
          <w:lang w:val="de-DE"/>
        </w:rPr>
        <w:t>)</w:t>
      </w:r>
      <w:r w:rsidRPr="00F112F0">
        <w:rPr>
          <w:highlight w:val="cyan"/>
          <w:lang w:val="de-DE"/>
        </w:rPr>
        <w:t xml:space="preserve"> </w:t>
      </w:r>
      <w:r w:rsidR="008C79B2" w:rsidRPr="00F112F0">
        <w:rPr>
          <w:highlight w:val="cyan"/>
          <w:lang w:val="de-DE"/>
        </w:rPr>
        <w:t>gemacht werden können</w:t>
      </w:r>
      <w:r w:rsidR="00DF1A60" w:rsidRPr="00F112F0">
        <w:rPr>
          <w:highlight w:val="cyan"/>
          <w:lang w:val="de-DE"/>
        </w:rPr>
        <w:t xml:space="preserve">, sollte als „Soll-Vorschrift“ und nicht als „Kann-Regelung“ ausgestaltet werden (§§ 7 Abs. </w:t>
      </w:r>
      <w:r w:rsidR="00CC2D7B" w:rsidRPr="00F112F0">
        <w:rPr>
          <w:highlight w:val="cyan"/>
          <w:lang w:val="de-DE"/>
        </w:rPr>
        <w:t>1c, 12, 17, 48 BImSchG)</w:t>
      </w:r>
      <w:r w:rsidR="00DF1A60" w:rsidRPr="00F112F0">
        <w:rPr>
          <w:highlight w:val="cyan"/>
          <w:lang w:val="de-DE"/>
        </w:rPr>
        <w:t xml:space="preserve">. </w:t>
      </w:r>
    </w:p>
    <w:p w14:paraId="776954FE" w14:textId="07DD49CB" w:rsidR="00394D5C" w:rsidRDefault="00CC2D7B" w:rsidP="00394D5C">
      <w:pPr>
        <w:rPr>
          <w:lang w:val="de-DE"/>
        </w:rPr>
      </w:pPr>
      <w:r w:rsidRPr="00F112F0">
        <w:rPr>
          <w:highlight w:val="cyan"/>
          <w:lang w:val="de-DE"/>
        </w:rPr>
        <w:t xml:space="preserve">Bisher wird in </w:t>
      </w:r>
      <w:r w:rsidR="00394D5C" w:rsidRPr="00394D5C">
        <w:rPr>
          <w:highlight w:val="cyan"/>
          <w:lang w:val="de-DE"/>
        </w:rPr>
        <w:t xml:space="preserve">der Verordnungsermächtigung vorgesehen, dass bestimmte Ausnahmeregelungen festgelegt werden </w:t>
      </w:r>
      <w:r w:rsidR="00394D5C" w:rsidRPr="00394D5C">
        <w:rPr>
          <w:b/>
          <w:bCs/>
          <w:highlight w:val="cyan"/>
          <w:lang w:val="de-DE"/>
        </w:rPr>
        <w:t>können</w:t>
      </w:r>
      <w:r w:rsidR="00394D5C" w:rsidRPr="00394D5C">
        <w:rPr>
          <w:highlight w:val="cyan"/>
          <w:lang w:val="de-DE"/>
        </w:rPr>
        <w:t>.</w:t>
      </w:r>
      <w:r w:rsidR="00CA2882" w:rsidRPr="00F112F0">
        <w:rPr>
          <w:highlight w:val="cyan"/>
          <w:lang w:val="de-DE"/>
        </w:rPr>
        <w:t xml:space="preserve"> Mit der Änderung von einer </w:t>
      </w:r>
      <w:r w:rsidR="00394D5C" w:rsidRPr="00394D5C">
        <w:rPr>
          <w:highlight w:val="cyan"/>
          <w:lang w:val="de-DE"/>
        </w:rPr>
        <w:t xml:space="preserve">„Kann“-Regelung </w:t>
      </w:r>
      <w:r w:rsidR="00CA2882" w:rsidRPr="00F112F0">
        <w:rPr>
          <w:highlight w:val="cyan"/>
          <w:lang w:val="de-DE"/>
        </w:rPr>
        <w:t xml:space="preserve">zu </w:t>
      </w:r>
      <w:r w:rsidR="00394D5C" w:rsidRPr="00394D5C">
        <w:rPr>
          <w:highlight w:val="cyan"/>
          <w:lang w:val="de-DE"/>
        </w:rPr>
        <w:t>eine</w:t>
      </w:r>
      <w:r w:rsidR="00CA2882" w:rsidRPr="00F112F0">
        <w:rPr>
          <w:highlight w:val="cyan"/>
          <w:lang w:val="de-DE"/>
        </w:rPr>
        <w:t>r</w:t>
      </w:r>
      <w:r w:rsidR="00394D5C" w:rsidRPr="00394D5C">
        <w:rPr>
          <w:highlight w:val="cyan"/>
          <w:lang w:val="de-DE"/>
        </w:rPr>
        <w:t xml:space="preserve"> „Soll“-Regelung </w:t>
      </w:r>
      <w:r w:rsidR="00CA2882" w:rsidRPr="00F112F0">
        <w:rPr>
          <w:highlight w:val="cyan"/>
          <w:lang w:val="de-DE"/>
        </w:rPr>
        <w:t xml:space="preserve">wird dem </w:t>
      </w:r>
      <w:r w:rsidR="00394D5C" w:rsidRPr="00394D5C">
        <w:rPr>
          <w:highlight w:val="cyan"/>
          <w:lang w:val="de-DE"/>
        </w:rPr>
        <w:t xml:space="preserve">Verordnungsgeber </w:t>
      </w:r>
      <w:r w:rsidR="00CA2882" w:rsidRPr="00F112F0">
        <w:rPr>
          <w:highlight w:val="cyan"/>
          <w:lang w:val="de-DE"/>
        </w:rPr>
        <w:t xml:space="preserve">bzw. der Behörde </w:t>
      </w:r>
      <w:r w:rsidR="00394D5C" w:rsidRPr="00394D5C">
        <w:rPr>
          <w:highlight w:val="cyan"/>
          <w:lang w:val="de-DE"/>
        </w:rPr>
        <w:t xml:space="preserve">ein deutliches Signal </w:t>
      </w:r>
      <w:r w:rsidR="00CA2882" w:rsidRPr="00F112F0">
        <w:rPr>
          <w:highlight w:val="cyan"/>
          <w:lang w:val="de-DE"/>
        </w:rPr>
        <w:t>ge</w:t>
      </w:r>
      <w:r w:rsidR="00394D5C" w:rsidRPr="00394D5C">
        <w:rPr>
          <w:highlight w:val="cyan"/>
          <w:lang w:val="de-DE"/>
        </w:rPr>
        <w:t xml:space="preserve">geben, dass alle von der IED vorgesehenen Ausnahmeregime auch in das Verordnungsrecht übernommen </w:t>
      </w:r>
      <w:r w:rsidR="00F112F0" w:rsidRPr="00F112F0">
        <w:rPr>
          <w:highlight w:val="cyan"/>
          <w:lang w:val="de-DE"/>
        </w:rPr>
        <w:t xml:space="preserve">bzw. in der Praxis angewendet </w:t>
      </w:r>
      <w:r w:rsidR="00394D5C" w:rsidRPr="00394D5C">
        <w:rPr>
          <w:highlight w:val="cyan"/>
          <w:lang w:val="de-DE"/>
        </w:rPr>
        <w:t>werden</w:t>
      </w:r>
      <w:r w:rsidR="00F112F0" w:rsidRPr="00F112F0">
        <w:rPr>
          <w:highlight w:val="cyan"/>
          <w:lang w:val="de-DE"/>
        </w:rPr>
        <w:t xml:space="preserve"> sollen</w:t>
      </w:r>
      <w:r w:rsidR="00394D5C" w:rsidRPr="00394D5C">
        <w:rPr>
          <w:highlight w:val="cyan"/>
          <w:lang w:val="de-DE"/>
        </w:rPr>
        <w:t>.</w:t>
      </w:r>
    </w:p>
    <w:p w14:paraId="53CC877F" w14:textId="15C3194F" w:rsidR="00537757" w:rsidRDefault="00EE64FA" w:rsidP="00C3608A">
      <w:pPr>
        <w:pStyle w:val="berschrift1"/>
        <w:rPr>
          <w:lang w:val="de-DE"/>
        </w:rPr>
      </w:pPr>
      <w:bookmarkStart w:id="28" w:name="_Toc187072918"/>
      <w:r>
        <w:rPr>
          <w:lang w:val="de-DE"/>
        </w:rPr>
        <w:lastRenderedPageBreak/>
        <w:t>1</w:t>
      </w:r>
      <w:r w:rsidR="00C3608A">
        <w:rPr>
          <w:lang w:val="de-DE"/>
        </w:rPr>
        <w:t>.1</w:t>
      </w:r>
      <w:r w:rsidR="001532B5">
        <w:rPr>
          <w:lang w:val="de-DE"/>
        </w:rPr>
        <w:t>3</w:t>
      </w:r>
      <w:r w:rsidR="00C3608A" w:rsidRPr="00091C0D">
        <w:rPr>
          <w:lang w:val="de-DE"/>
        </w:rPr>
        <w:t xml:space="preserve"> </w:t>
      </w:r>
      <w:r w:rsidR="00C3608A" w:rsidRPr="00C3608A">
        <w:rPr>
          <w:bCs/>
          <w:lang w:val="de-DE"/>
        </w:rPr>
        <w:t>Erörterungstermin fakultativ ausgestalten (§ 10 Abs. 6 BImSchG)</w:t>
      </w:r>
      <w:bookmarkEnd w:id="28"/>
    </w:p>
    <w:p w14:paraId="73251527" w14:textId="059C3EC9" w:rsidR="00537757" w:rsidRPr="00537757" w:rsidRDefault="00537757" w:rsidP="00537757">
      <w:pPr>
        <w:rPr>
          <w:lang w:val="de-DE"/>
        </w:rPr>
      </w:pPr>
      <w:r w:rsidRPr="00537757">
        <w:rPr>
          <w:lang w:val="de-DE"/>
        </w:rPr>
        <w:t xml:space="preserve">In § 10 Abs. 6 BImSchG sollte </w:t>
      </w:r>
      <w:r w:rsidR="00C3608A">
        <w:rPr>
          <w:lang w:val="de-DE"/>
        </w:rPr>
        <w:t xml:space="preserve">zwecks </w:t>
      </w:r>
      <w:r w:rsidR="00102B82">
        <w:rPr>
          <w:lang w:val="de-DE"/>
        </w:rPr>
        <w:t xml:space="preserve">Verfahrensbeschleunigung </w:t>
      </w:r>
      <w:r w:rsidRPr="00537757">
        <w:rPr>
          <w:lang w:val="de-DE"/>
        </w:rPr>
        <w:t>der Erörterungstermin ausschließlich fakultativ ausgestaltet werden.</w:t>
      </w:r>
    </w:p>
    <w:p w14:paraId="70A98043" w14:textId="56215E90" w:rsidR="00537757" w:rsidRPr="00537757" w:rsidRDefault="00537757" w:rsidP="00537757">
      <w:pPr>
        <w:rPr>
          <w:lang w:val="de-DE"/>
        </w:rPr>
      </w:pPr>
      <w:r w:rsidRPr="00537757">
        <w:rPr>
          <w:lang w:val="de-DE"/>
        </w:rPr>
        <w:t xml:space="preserve">Die jüngste Beschleunigungsnovelle des BImSchG hat für den Bereich der industriellen Anlagengenehmigungen keine rechtlich eindeutige Klarheit im Hinblick auf den fakultativen Erörterungstermin geschaffen. </w:t>
      </w:r>
    </w:p>
    <w:p w14:paraId="31AA775D" w14:textId="6EBB5EAA" w:rsidR="00537757" w:rsidRPr="00537757" w:rsidRDefault="00537757" w:rsidP="00537757">
      <w:pPr>
        <w:rPr>
          <w:lang w:val="de-DE"/>
        </w:rPr>
      </w:pPr>
      <w:r w:rsidRPr="00537757">
        <w:rPr>
          <w:lang w:val="de-DE"/>
        </w:rPr>
        <w:t>Es sollte daher entsprechend der Regelung bei der Modernisierung von Anlagen zur Erzeugung von Strom aus erneuerbaren Energien (siehe § 16</w:t>
      </w:r>
      <w:r w:rsidR="008F0C2E">
        <w:rPr>
          <w:lang w:val="de-DE"/>
        </w:rPr>
        <w:t xml:space="preserve"> </w:t>
      </w:r>
      <w:r w:rsidRPr="00537757">
        <w:rPr>
          <w:lang w:val="de-DE"/>
        </w:rPr>
        <w:t xml:space="preserve">b Absatz 5 BImSchG) der Erörterungstermin nur auf Antrag des Vorhabenträgers durchgeführt werden. </w:t>
      </w:r>
    </w:p>
    <w:p w14:paraId="73B1E959" w14:textId="77777777" w:rsidR="00537757" w:rsidRPr="00537757" w:rsidRDefault="00537757" w:rsidP="00537757">
      <w:pPr>
        <w:rPr>
          <w:lang w:val="de-DE"/>
        </w:rPr>
      </w:pPr>
      <w:r w:rsidRPr="00537757">
        <w:rPr>
          <w:lang w:val="de-DE"/>
        </w:rPr>
        <w:t>Nicht ersichtlich ist, warum in der Beschleunigungsnovelle der Erörterungstermin bei der Genehmigung von Industrieanlagen nicht ebenfalls fakultativ ausgestaltet wurde. Auch bei der Genehmigung von Industrieanlagen ist eine fundamentale Beschleunigung der Verfahren erforderlich, wenn Deutschland die Klimaziele rechtzeitig erreichen will.</w:t>
      </w:r>
    </w:p>
    <w:p w14:paraId="0B51EEE0" w14:textId="77777777" w:rsidR="00537757" w:rsidRPr="00537757" w:rsidRDefault="00537757" w:rsidP="00537757">
      <w:pPr>
        <w:rPr>
          <w:lang w:val="de-DE"/>
        </w:rPr>
      </w:pPr>
      <w:r w:rsidRPr="00537757">
        <w:rPr>
          <w:lang w:val="de-DE"/>
        </w:rPr>
        <w:t>Eine europarechtliche Verpflichtung zur Durchführung eines Erörterungstermins besteht nicht. Daher ist der deutsche Gesetzgeber frei darin, Inhalt und Reichweite von Erörterungsterminen zu regeln. Bei beiden Verfahrensarten sollte ein Erörterungstermin nur auf Wunsch des Antragstellers erfolgen. Ein Erörterungstermin sollte bei allen Verfahren zukünftig nur auf Wunsch des Vorhabenträgers (bzw. Antragstellers pp.) durchgeführt werden. Eine solche „Wahlmöglichkeit“ ist im bestehenden Verfahrensrecht bereits etabliert (z. B. Durchführung eines Änderungsgenehmigungs- statt eines Anzeigeverfahrens, § 16 Abs. 4 BImSchG; Entfallen der Öffentlichkeitsbeteiligung gem. § 16 Abs. 2 BImSchG; „freiwillige“ UVP gem. § 7 Abs. 3 UVPG).</w:t>
      </w:r>
    </w:p>
    <w:p w14:paraId="6145BE72" w14:textId="77777777" w:rsidR="00537757" w:rsidRPr="00537757" w:rsidRDefault="00537757" w:rsidP="00537757">
      <w:pPr>
        <w:rPr>
          <w:lang w:val="de-DE"/>
        </w:rPr>
      </w:pPr>
      <w:r w:rsidRPr="00537757">
        <w:rPr>
          <w:lang w:val="de-DE"/>
        </w:rPr>
        <w:t>Der Projektträger sollte frei entscheiden können, da er mit seiner Investitionsentscheidung das Risiko des Verfahrens und damit auch das Risiko möglicher Verzögerungen durch Klagen trägt. Durch die Erörterung mit den Einwendern soll die Behörde weitere Informationen hinzugewinnen, einen differenzierten Blickwinkel auf den Sachverhalt erhalten und so die Belange besser abwägen können. Doch ein Blick in die Praxis zeigt, dass ein Informationsgewinn bei der Behörde nur selten eintritt. Oft sind bereits die Einwendungen so substantiiert, dass sich in der Erörterung nichts Neues ergibt. In der Praxis zeigt sich zudem, dass der Informationsgewinn für die Einwender und weiteren Betroffenen bei Erörterungsterminen nicht besonders groß ist. Viele sind bereits mit der Auslegung der Unterlagen gut über das Vorhaben informiert.</w:t>
      </w:r>
    </w:p>
    <w:p w14:paraId="4BA808A9" w14:textId="0DA5006C" w:rsidR="00537757" w:rsidRPr="00537757" w:rsidRDefault="00537757" w:rsidP="00537757">
      <w:pPr>
        <w:rPr>
          <w:lang w:val="de-DE"/>
        </w:rPr>
      </w:pPr>
      <w:r w:rsidRPr="00537757">
        <w:rPr>
          <w:lang w:val="de-DE"/>
        </w:rPr>
        <w:t xml:space="preserve">Folgende Ergänzung sollte </w:t>
      </w:r>
      <w:r w:rsidR="0071750F">
        <w:rPr>
          <w:lang w:val="de-DE"/>
        </w:rPr>
        <w:t xml:space="preserve">in </w:t>
      </w:r>
      <w:r w:rsidR="0071750F" w:rsidRPr="00537757">
        <w:rPr>
          <w:lang w:val="de-DE"/>
        </w:rPr>
        <w:t>§ 10 Abs. 6 BImSchG durch einen neuen Satz 2 (entsprechend § 16</w:t>
      </w:r>
      <w:r w:rsidR="00F56E60">
        <w:rPr>
          <w:lang w:val="de-DE"/>
        </w:rPr>
        <w:t xml:space="preserve"> </w:t>
      </w:r>
      <w:r w:rsidR="0071750F" w:rsidRPr="00537757">
        <w:rPr>
          <w:lang w:val="de-DE"/>
        </w:rPr>
        <w:t>b Abs. 5 BImSchG)</w:t>
      </w:r>
      <w:r w:rsidR="00F56E60">
        <w:rPr>
          <w:lang w:val="de-DE"/>
        </w:rPr>
        <w:t xml:space="preserve"> </w:t>
      </w:r>
      <w:r w:rsidRPr="00537757">
        <w:rPr>
          <w:lang w:val="de-DE"/>
        </w:rPr>
        <w:t>vorgenommen werden:</w:t>
      </w:r>
    </w:p>
    <w:p w14:paraId="0E813B98" w14:textId="77777777" w:rsidR="00537757" w:rsidRPr="00F56E60" w:rsidRDefault="00537757" w:rsidP="00537757">
      <w:pPr>
        <w:rPr>
          <w:i/>
          <w:iCs/>
          <w:lang w:val="de-DE"/>
        </w:rPr>
      </w:pPr>
      <w:r w:rsidRPr="00F56E60">
        <w:rPr>
          <w:i/>
          <w:iCs/>
          <w:lang w:val="de-DE"/>
        </w:rPr>
        <w:t xml:space="preserve">„(6) Nach Ablauf der Einwendungsfrist kann die Genehmigungsbehörde die rechtzeitig gegen das Vorhaben erhobenen Einwendungen mit dem Antragsteller und denjenigen, die Einwendungen erhoben haben, erörtern. </w:t>
      </w:r>
      <w:r w:rsidRPr="00F56E60">
        <w:rPr>
          <w:b/>
          <w:bCs/>
          <w:i/>
          <w:iCs/>
          <w:lang w:val="de-DE"/>
        </w:rPr>
        <w:t>Auf einen Erörterungstermin soll verzichtet werden, wenn nicht der Antragsteller diesen beantragt.</w:t>
      </w:r>
      <w:r w:rsidRPr="00F56E60">
        <w:rPr>
          <w:i/>
          <w:iCs/>
          <w:lang w:val="de-DE"/>
        </w:rPr>
        <w:t>“ Die geltenden Sätze 2 bis 5 werden die Sätze 3 bis 6.</w:t>
      </w:r>
    </w:p>
    <w:p w14:paraId="1F537E4C" w14:textId="736E9F78" w:rsidR="00537757" w:rsidRDefault="00537757" w:rsidP="00537757">
      <w:pPr>
        <w:rPr>
          <w:lang w:val="de-DE"/>
        </w:rPr>
      </w:pPr>
      <w:r w:rsidRPr="00537757">
        <w:rPr>
          <w:lang w:val="de-DE"/>
        </w:rPr>
        <w:t xml:space="preserve">Zur Klarstellung </w:t>
      </w:r>
      <w:r w:rsidR="00F56E60">
        <w:rPr>
          <w:lang w:val="de-DE"/>
        </w:rPr>
        <w:t>sollten zudem</w:t>
      </w:r>
      <w:r w:rsidRPr="00537757">
        <w:rPr>
          <w:lang w:val="de-DE"/>
        </w:rPr>
        <w:t xml:space="preserve"> die Regelungen in § 16 der 9. BImSchV </w:t>
      </w:r>
      <w:r w:rsidR="00F56E60">
        <w:rPr>
          <w:lang w:val="de-DE"/>
        </w:rPr>
        <w:t>angepasst werden</w:t>
      </w:r>
      <w:r w:rsidRPr="00537757">
        <w:rPr>
          <w:lang w:val="de-DE"/>
        </w:rPr>
        <w:t xml:space="preserve"> (siehe </w:t>
      </w:r>
      <w:r w:rsidR="00F56E60">
        <w:rPr>
          <w:lang w:val="de-DE"/>
        </w:rPr>
        <w:t xml:space="preserve">BDI-Stellungnahme </w:t>
      </w:r>
      <w:r w:rsidRPr="00537757">
        <w:rPr>
          <w:lang w:val="de-DE"/>
        </w:rPr>
        <w:t>zur Mantelverordnung</w:t>
      </w:r>
      <w:r w:rsidR="004D3F25">
        <w:rPr>
          <w:lang w:val="de-DE"/>
        </w:rPr>
        <w:t xml:space="preserve"> zur IED-Umsetzung</w:t>
      </w:r>
      <w:r w:rsidRPr="00537757">
        <w:rPr>
          <w:lang w:val="de-DE"/>
        </w:rPr>
        <w:t>).</w:t>
      </w:r>
    </w:p>
    <w:p w14:paraId="37710C56" w14:textId="60E35313" w:rsidR="00237350" w:rsidRPr="00A1614F" w:rsidRDefault="00EE64FA" w:rsidP="00647981">
      <w:pPr>
        <w:pStyle w:val="berschrift1"/>
        <w:rPr>
          <w:lang w:val="de-DE"/>
        </w:rPr>
      </w:pPr>
      <w:bookmarkStart w:id="29" w:name="_Toc187072919"/>
      <w:r>
        <w:rPr>
          <w:lang w:val="de-DE"/>
        </w:rPr>
        <w:t>1</w:t>
      </w:r>
      <w:r w:rsidR="00CA563A">
        <w:rPr>
          <w:lang w:val="de-DE"/>
        </w:rPr>
        <w:t>.</w:t>
      </w:r>
      <w:r w:rsidR="00853B03">
        <w:rPr>
          <w:lang w:val="de-DE"/>
        </w:rPr>
        <w:t>1</w:t>
      </w:r>
      <w:r w:rsidR="001532B5">
        <w:rPr>
          <w:lang w:val="de-DE"/>
        </w:rPr>
        <w:t>4</w:t>
      </w:r>
      <w:r w:rsidR="00CA563A" w:rsidRPr="00091C0D">
        <w:rPr>
          <w:lang w:val="de-DE"/>
        </w:rPr>
        <w:t xml:space="preserve"> </w:t>
      </w:r>
      <w:r w:rsidR="00237350" w:rsidRPr="00A1614F">
        <w:rPr>
          <w:bCs/>
          <w:lang w:val="de-DE"/>
        </w:rPr>
        <w:t>Stichtagsregelungen einführen (§ 10 Abs. 6a BImSchG)</w:t>
      </w:r>
      <w:bookmarkEnd w:id="29"/>
    </w:p>
    <w:p w14:paraId="17F98170" w14:textId="3781F886" w:rsidR="00237350" w:rsidRPr="00A1614F" w:rsidRDefault="00237350" w:rsidP="00237350">
      <w:pPr>
        <w:rPr>
          <w:lang w:val="de-DE"/>
        </w:rPr>
      </w:pPr>
      <w:r w:rsidRPr="00A1614F">
        <w:rPr>
          <w:lang w:val="de-DE"/>
        </w:rPr>
        <w:lastRenderedPageBreak/>
        <w:t>In § 10 Absatz 6a BImSchG sollte zwecks Verfahrensbeschleunigung eine Stichtagsregelung eingefügt werden. Antragsunterlagen müssen bisher bis zum Zeitpunkt der Genehmigung, also der Erteilung des Bescheides, aktuell gehalten werden. Ändern sich im Zuge des Verfahrens die gesetzlichen Vorgaben, muss nachgebessert werden. Eine Stichtagsregelung könnte auf den Zeitpunkt der Erklärung der Vollständigkeit der Antragsunterlagen gelegt werden und damit das zeitaufwendige Nachreichen von Unterlagen aufgrund von Rechtsänderungen verhindern. Hierdurch würden auch sich ggf. aus den Änderungen ergebende Neuauslegungen der Unterlagen aus rechtsformalen Gründen vermieden. Die Beschleunigungs-Novelle des BImSchG hat diesen wichtigen Punkt nicht für alle Anlagen aufgegriffen. Dagegen hat der Beschleunigungspakt von Bund und Ländern einen klaren Gesetzgebungsauftrag formuliert (</w:t>
      </w:r>
      <w:proofErr w:type="spellStart"/>
      <w:r w:rsidRPr="00A1614F">
        <w:rPr>
          <w:lang w:val="de-DE"/>
        </w:rPr>
        <w:t>Rn</w:t>
      </w:r>
      <w:proofErr w:type="spellEnd"/>
      <w:r w:rsidRPr="00A1614F">
        <w:rPr>
          <w:lang w:val="de-DE"/>
        </w:rPr>
        <w:t>. 150ff):</w:t>
      </w:r>
    </w:p>
    <w:p w14:paraId="59E760BB" w14:textId="77777777" w:rsidR="00237350" w:rsidRPr="00A1614F" w:rsidRDefault="00237350" w:rsidP="00237350">
      <w:pPr>
        <w:rPr>
          <w:i/>
          <w:iCs/>
          <w:lang w:val="de-DE"/>
        </w:rPr>
      </w:pPr>
      <w:r w:rsidRPr="00A1614F">
        <w:rPr>
          <w:lang w:val="de-DE"/>
        </w:rPr>
        <w:t>„</w:t>
      </w:r>
      <w:r w:rsidRPr="00A1614F">
        <w:rPr>
          <w:i/>
          <w:iCs/>
          <w:lang w:val="de-DE"/>
        </w:rPr>
        <w:t>Änderungen der Sachlage während eines Genehmigungsprozesses und daraus notwendige Anpassungen sollen nicht mehr zu Verfahrensverzögerungen führen. Stichtage, mit denen die Sach- und Rechtslage sowie der Stand der Technik festgelegt werden, nach denen das weitere Verfahren insgesamt zu beurteilen ist, können zeitaufwendige Aktualisierungen verhindern. Bund und Länder werden daher in ihren jeweiligen Zuständigkeitsbereichen für Verfahrensgegenstände eine Stichtagsregelung im Planungs- und Genehmigungsverfahren einführen, soweit dies zweckmäßig ist, und mit einer Rechtsfolge, die europarechtlich zulässig ist. Sofern erforderlich wird der Bund auf eine entsprechende Änderung des EU-Rechts hinwirken. Zunächst wird der Bund diesbezüglich u.a. die bestehende Stichtagsregelung in § 10 Abs. 5 S. 3 des Bundesimmissionsschutzgesetzes (BImSchG) anpassen und als maßgeblichen Zeitpunkt die Erklärung der Vollständigkeit der Antragsunterlagen festlegen. Zudem wird § 10 Abs. 5 S. 2-3 auf alle BImSchG-Anlagen ausgeweitet; die bisherige Beschränkung entfällt“.</w:t>
      </w:r>
    </w:p>
    <w:p w14:paraId="10280DCA" w14:textId="77777777" w:rsidR="002C4B85" w:rsidRDefault="002C4B85" w:rsidP="002C4B85">
      <w:pPr>
        <w:rPr>
          <w:lang w:val="de-DE"/>
        </w:rPr>
      </w:pPr>
      <w:r w:rsidRPr="00A1614F">
        <w:rPr>
          <w:lang w:val="de-DE"/>
        </w:rPr>
        <w:t xml:space="preserve">§ 10 Abs. 6a BImSchG sollte durch einen neuen Satz 4 ergänzt werden: </w:t>
      </w:r>
    </w:p>
    <w:p w14:paraId="1E560F7E" w14:textId="14F0D578" w:rsidR="00237350" w:rsidRPr="002C4B85" w:rsidRDefault="002C4B85" w:rsidP="00237350">
      <w:pPr>
        <w:rPr>
          <w:b/>
          <w:bCs/>
          <w:i/>
          <w:iCs/>
          <w:lang w:val="de-DE"/>
        </w:rPr>
      </w:pPr>
      <w:r w:rsidRPr="00A1614F">
        <w:rPr>
          <w:b/>
          <w:bCs/>
          <w:i/>
          <w:iCs/>
          <w:lang w:val="de-DE"/>
        </w:rPr>
        <w:t>„Grundlage der Genehmigungsentscheidung ist die zum Zeitpunkt der Erklärung der Vollständigkeit geltende Rechtslage.“</w:t>
      </w:r>
    </w:p>
    <w:p w14:paraId="21BEF3FC" w14:textId="1AACC170" w:rsidR="00477522" w:rsidRDefault="00BB20EA" w:rsidP="00477522">
      <w:pPr>
        <w:pStyle w:val="berschrift1"/>
        <w:rPr>
          <w:lang w:val="de-DE"/>
        </w:rPr>
      </w:pPr>
      <w:bookmarkStart w:id="30" w:name="_Toc187072920"/>
      <w:r>
        <w:rPr>
          <w:lang w:val="de-DE"/>
        </w:rPr>
        <w:t>1</w:t>
      </w:r>
      <w:r w:rsidR="00477522">
        <w:rPr>
          <w:lang w:val="de-DE"/>
        </w:rPr>
        <w:t>.</w:t>
      </w:r>
      <w:r w:rsidR="00EF3FF5">
        <w:rPr>
          <w:lang w:val="de-DE"/>
        </w:rPr>
        <w:t>1</w:t>
      </w:r>
      <w:r w:rsidR="001532B5">
        <w:rPr>
          <w:lang w:val="de-DE"/>
        </w:rPr>
        <w:t>5</w:t>
      </w:r>
      <w:r w:rsidR="00477522" w:rsidRPr="00091C0D">
        <w:rPr>
          <w:lang w:val="de-DE"/>
        </w:rPr>
        <w:t xml:space="preserve"> </w:t>
      </w:r>
      <w:r w:rsidR="00BD02F5" w:rsidRPr="00BD02F5">
        <w:rPr>
          <w:lang w:val="de-DE"/>
        </w:rPr>
        <w:t>Kein Regelfall, Nebenbestimmungen von Genehmigungen zu konsolidieren</w:t>
      </w:r>
      <w:r w:rsidR="00EF3FF5">
        <w:rPr>
          <w:lang w:val="de-DE"/>
        </w:rPr>
        <w:t xml:space="preserve"> (§ 10 Abs. 8a BImSchG)</w:t>
      </w:r>
      <w:bookmarkEnd w:id="30"/>
    </w:p>
    <w:p w14:paraId="1D40715B" w14:textId="3645374A" w:rsidR="00A813C8" w:rsidRPr="00A813C8" w:rsidRDefault="00A813C8" w:rsidP="00A813C8">
      <w:pPr>
        <w:rPr>
          <w:lang w:val="de-DE"/>
        </w:rPr>
      </w:pPr>
      <w:r w:rsidRPr="00A813C8">
        <w:rPr>
          <w:lang w:val="de-DE"/>
        </w:rPr>
        <w:t>Es darf nicht zum Regelfall erklärt werden, dass bei der Internet-Veröffentlichung von Genehmigungsbescheiden die Nebenbestimmungen zur Genehmigung in einer konsolidierten Fassung beizufügen sind.</w:t>
      </w:r>
      <w:r w:rsidR="00DA7748">
        <w:rPr>
          <w:lang w:val="de-DE"/>
        </w:rPr>
        <w:t xml:space="preserve"> </w:t>
      </w:r>
      <w:r w:rsidRPr="00A813C8">
        <w:rPr>
          <w:lang w:val="de-DE"/>
        </w:rPr>
        <w:t xml:space="preserve">Der entsprechende Vorschlag im Gesetzentwurf (§ 10 Abs. 8a Satz 1 neue Nummer 2 BImSchG) </w:t>
      </w:r>
      <w:r w:rsidR="00DA7748">
        <w:rPr>
          <w:lang w:val="de-DE"/>
        </w:rPr>
        <w:t>sollte geändert werden</w:t>
      </w:r>
      <w:r w:rsidRPr="00A813C8">
        <w:rPr>
          <w:lang w:val="de-DE"/>
        </w:rPr>
        <w:t>.</w:t>
      </w:r>
    </w:p>
    <w:p w14:paraId="4C4966FB" w14:textId="77777777" w:rsidR="00A813C8" w:rsidRPr="00A813C8" w:rsidRDefault="00A813C8" w:rsidP="00A813C8">
      <w:pPr>
        <w:rPr>
          <w:lang w:val="de-DE"/>
        </w:rPr>
      </w:pPr>
      <w:r w:rsidRPr="00A813C8">
        <w:rPr>
          <w:lang w:val="de-DE"/>
        </w:rPr>
        <w:t xml:space="preserve">Der Vorschlag ist nicht praxistauglich, europarechtlich nicht erforderlich und führt zu erheblichem bürokratischem Aufwand bei den Genehmigungsbehörden und den Betreibern. </w:t>
      </w:r>
    </w:p>
    <w:p w14:paraId="1BE990D7" w14:textId="4F6F2F5F" w:rsidR="00DC22E8" w:rsidRDefault="00A813C8" w:rsidP="00DC22E8">
      <w:pPr>
        <w:rPr>
          <w:lang w:val="de-DE"/>
        </w:rPr>
      </w:pPr>
      <w:r w:rsidRPr="00A813C8">
        <w:rPr>
          <w:lang w:val="de-DE"/>
        </w:rPr>
        <w:t xml:space="preserve">Genehmigungen von IED-Anlagen können weit in die Vergangenheit zurückreichen </w:t>
      </w:r>
      <w:r w:rsidR="009E76C3">
        <w:rPr>
          <w:lang w:val="de-DE"/>
        </w:rPr>
        <w:t xml:space="preserve">- </w:t>
      </w:r>
      <w:r w:rsidRPr="00A813C8">
        <w:rPr>
          <w:lang w:val="de-DE"/>
        </w:rPr>
        <w:t xml:space="preserve">zum Teil mehrere Jahrzehnte - und hunderte von (noch gültigen) Nebenbestimmungen enthalten. Da die Genehmigung nach § 13 BImSchG auch sehr viele andere Genehmigungen oder sonstige Zulassungen </w:t>
      </w:r>
      <w:proofErr w:type="spellStart"/>
      <w:r w:rsidRPr="00A813C8">
        <w:rPr>
          <w:lang w:val="de-DE"/>
        </w:rPr>
        <w:t>einkonzentriert</w:t>
      </w:r>
      <w:proofErr w:type="spellEnd"/>
      <w:r w:rsidRPr="00A813C8">
        <w:rPr>
          <w:lang w:val="de-DE"/>
        </w:rPr>
        <w:t xml:space="preserve"> und Genehmigungsvoraussetzung nach § 6 Abs. 1 Nr. 2 BImSchG die Einhaltung von anderen öffentlichen-rechtlichen Vorschriften </w:t>
      </w:r>
      <w:r w:rsidR="00A07CF6">
        <w:rPr>
          <w:lang w:val="de-DE"/>
        </w:rPr>
        <w:t>sowie</w:t>
      </w:r>
      <w:r w:rsidRPr="00A813C8">
        <w:rPr>
          <w:lang w:val="de-DE"/>
        </w:rPr>
        <w:t xml:space="preserve"> Belange des Arbeitsschutzes beinhaltet, enthalten solche Genehmigungen sehr viele Nebenbestimmungen, die mit dem Anwendungsbereich der IED nichts zu tun haben. Beispielsweise können in einer Genehmigung enthalten sein, Nebenbestimmungen </w:t>
      </w:r>
      <w:r w:rsidR="00DC22E8">
        <w:rPr>
          <w:lang w:val="de-DE"/>
        </w:rPr>
        <w:t xml:space="preserve">zum </w:t>
      </w:r>
    </w:p>
    <w:p w14:paraId="2F9E4FF6" w14:textId="77777777" w:rsidR="00515373" w:rsidRDefault="00A813C8" w:rsidP="00F03B6F">
      <w:pPr>
        <w:pStyle w:val="Listenabsatz"/>
        <w:numPr>
          <w:ilvl w:val="0"/>
          <w:numId w:val="9"/>
        </w:numPr>
        <w:spacing w:after="0"/>
        <w:ind w:left="1066" w:hanging="357"/>
        <w:rPr>
          <w:lang w:val="de-DE"/>
        </w:rPr>
      </w:pPr>
      <w:r w:rsidRPr="00515373">
        <w:rPr>
          <w:lang w:val="de-DE"/>
        </w:rPr>
        <w:t>Bauordnungsrecht</w:t>
      </w:r>
    </w:p>
    <w:p w14:paraId="604E8CE3" w14:textId="77777777" w:rsidR="00515373" w:rsidRDefault="00A813C8" w:rsidP="00F03B6F">
      <w:pPr>
        <w:pStyle w:val="Listenabsatz"/>
        <w:numPr>
          <w:ilvl w:val="0"/>
          <w:numId w:val="9"/>
        </w:numPr>
        <w:spacing w:after="0"/>
        <w:ind w:left="1066" w:hanging="357"/>
        <w:rPr>
          <w:lang w:val="de-DE"/>
        </w:rPr>
      </w:pPr>
      <w:r w:rsidRPr="00515373">
        <w:rPr>
          <w:lang w:val="de-DE"/>
        </w:rPr>
        <w:t>Arbeitsschutzrecht</w:t>
      </w:r>
    </w:p>
    <w:p w14:paraId="22B5B28E" w14:textId="3096CCB5" w:rsidR="00515373" w:rsidRDefault="00A813C8" w:rsidP="00F03B6F">
      <w:pPr>
        <w:pStyle w:val="Listenabsatz"/>
        <w:numPr>
          <w:ilvl w:val="0"/>
          <w:numId w:val="9"/>
        </w:numPr>
        <w:spacing w:after="0"/>
        <w:ind w:left="1066" w:hanging="357"/>
        <w:rPr>
          <w:lang w:val="de-DE"/>
        </w:rPr>
      </w:pPr>
      <w:r w:rsidRPr="00515373">
        <w:rPr>
          <w:lang w:val="de-DE"/>
        </w:rPr>
        <w:lastRenderedPageBreak/>
        <w:t>Recht der Anlagen zum Umgang mit wassergefährdenden Stoffen</w:t>
      </w:r>
    </w:p>
    <w:p w14:paraId="75E0151C" w14:textId="24380735" w:rsidR="00515373" w:rsidRDefault="00A813C8" w:rsidP="00F03B6F">
      <w:pPr>
        <w:pStyle w:val="Listenabsatz"/>
        <w:numPr>
          <w:ilvl w:val="0"/>
          <w:numId w:val="9"/>
        </w:numPr>
        <w:spacing w:after="0"/>
        <w:ind w:left="1066" w:hanging="357"/>
        <w:rPr>
          <w:lang w:val="de-DE"/>
        </w:rPr>
      </w:pPr>
      <w:r w:rsidRPr="00515373">
        <w:rPr>
          <w:lang w:val="de-DE"/>
        </w:rPr>
        <w:t>Störfallrecht</w:t>
      </w:r>
    </w:p>
    <w:p w14:paraId="22AE3B06" w14:textId="77777777" w:rsidR="00515373" w:rsidRDefault="00A813C8" w:rsidP="00F03B6F">
      <w:pPr>
        <w:pStyle w:val="Listenabsatz"/>
        <w:numPr>
          <w:ilvl w:val="0"/>
          <w:numId w:val="9"/>
        </w:numPr>
        <w:spacing w:after="0"/>
        <w:ind w:left="1066" w:hanging="357"/>
        <w:rPr>
          <w:lang w:val="de-DE"/>
        </w:rPr>
      </w:pPr>
      <w:r w:rsidRPr="00515373">
        <w:rPr>
          <w:lang w:val="de-DE"/>
        </w:rPr>
        <w:t>Recht der überwachungsbedürftigen Anlagen</w:t>
      </w:r>
    </w:p>
    <w:p w14:paraId="267AEBFC" w14:textId="77777777" w:rsidR="00515373" w:rsidRDefault="00A813C8" w:rsidP="00F03B6F">
      <w:pPr>
        <w:pStyle w:val="Listenabsatz"/>
        <w:numPr>
          <w:ilvl w:val="0"/>
          <w:numId w:val="9"/>
        </w:numPr>
        <w:spacing w:after="0"/>
        <w:ind w:left="1066" w:hanging="357"/>
        <w:rPr>
          <w:lang w:val="de-DE"/>
        </w:rPr>
      </w:pPr>
      <w:r w:rsidRPr="00515373">
        <w:rPr>
          <w:lang w:val="de-DE"/>
        </w:rPr>
        <w:t>Lärmschutz</w:t>
      </w:r>
    </w:p>
    <w:p w14:paraId="66804048" w14:textId="122FE7C4" w:rsidR="00A813C8" w:rsidRDefault="00A813C8" w:rsidP="00F03B6F">
      <w:pPr>
        <w:pStyle w:val="Listenabsatz"/>
        <w:numPr>
          <w:ilvl w:val="0"/>
          <w:numId w:val="9"/>
        </w:numPr>
        <w:spacing w:after="0"/>
        <w:ind w:left="1066" w:hanging="357"/>
        <w:rPr>
          <w:lang w:val="de-DE"/>
        </w:rPr>
      </w:pPr>
      <w:r w:rsidRPr="00515373">
        <w:rPr>
          <w:lang w:val="de-DE"/>
        </w:rPr>
        <w:t xml:space="preserve">Flugsicherung </w:t>
      </w:r>
      <w:proofErr w:type="gramStart"/>
      <w:r w:rsidRPr="00515373">
        <w:rPr>
          <w:lang w:val="de-DE"/>
        </w:rPr>
        <w:t>etc.</w:t>
      </w:r>
      <w:r w:rsidR="00E657B5">
        <w:rPr>
          <w:lang w:val="de-DE"/>
        </w:rPr>
        <w:t>.</w:t>
      </w:r>
      <w:proofErr w:type="gramEnd"/>
    </w:p>
    <w:p w14:paraId="33E81F23" w14:textId="77777777" w:rsidR="004E5A72" w:rsidRPr="00515373" w:rsidRDefault="004E5A72" w:rsidP="004E5A72">
      <w:pPr>
        <w:pStyle w:val="Listenabsatz"/>
        <w:numPr>
          <w:ilvl w:val="0"/>
          <w:numId w:val="0"/>
        </w:numPr>
        <w:spacing w:after="0"/>
        <w:ind w:left="1066"/>
        <w:rPr>
          <w:lang w:val="de-DE"/>
        </w:rPr>
      </w:pPr>
    </w:p>
    <w:p w14:paraId="612F0483" w14:textId="77777777" w:rsidR="00A813C8" w:rsidRPr="00A813C8" w:rsidRDefault="00A813C8" w:rsidP="00A813C8">
      <w:pPr>
        <w:rPr>
          <w:lang w:val="de-DE"/>
        </w:rPr>
      </w:pPr>
      <w:r w:rsidRPr="00A813C8">
        <w:rPr>
          <w:lang w:val="de-DE"/>
        </w:rPr>
        <w:t>Die in Artikel 24 Abs. 2 Buchst. a) IED enthaltene Vorgabe lautet:</w:t>
      </w:r>
    </w:p>
    <w:p w14:paraId="63CD072E" w14:textId="5F363DD9" w:rsidR="00A813C8" w:rsidRPr="00BD02F5" w:rsidRDefault="00A813C8" w:rsidP="00A813C8">
      <w:pPr>
        <w:rPr>
          <w:i/>
          <w:iCs/>
          <w:lang w:val="de-DE"/>
        </w:rPr>
      </w:pPr>
      <w:r w:rsidRPr="00BD02F5">
        <w:rPr>
          <w:i/>
          <w:iCs/>
          <w:lang w:val="de-DE"/>
        </w:rPr>
        <w:t>„Wurde eine Entscheidung über die Erteilung, Überprüfung oder Aktualisierung einer Genehmigung getroffen, so macht die zuständige Behörde der Öffentlichkeit</w:t>
      </w:r>
      <w:r w:rsidR="0010315B">
        <w:rPr>
          <w:i/>
          <w:iCs/>
          <w:lang w:val="de-DE"/>
        </w:rPr>
        <w:t xml:space="preserve"> […] </w:t>
      </w:r>
      <w:r w:rsidRPr="00BD02F5">
        <w:rPr>
          <w:i/>
          <w:iCs/>
          <w:lang w:val="de-DE"/>
        </w:rPr>
        <w:t>folgende Informationen zugänglich:</w:t>
      </w:r>
    </w:p>
    <w:p w14:paraId="54C3DF95" w14:textId="51F325B7" w:rsidR="00A813C8" w:rsidRPr="0006029C" w:rsidRDefault="00A813C8" w:rsidP="00A813C8">
      <w:pPr>
        <w:rPr>
          <w:i/>
          <w:iCs/>
          <w:lang w:val="de-DE"/>
        </w:rPr>
      </w:pPr>
      <w:r w:rsidRPr="00BD02F5">
        <w:rPr>
          <w:i/>
          <w:iCs/>
          <w:lang w:val="de-DE"/>
        </w:rPr>
        <w:t>a)</w:t>
      </w:r>
      <w:r w:rsidRPr="00BD02F5">
        <w:rPr>
          <w:i/>
          <w:iCs/>
          <w:lang w:val="de-DE"/>
        </w:rPr>
        <w:tab/>
        <w:t>den Inhalt der Entscheidung, einschließlich der Kopie der Genehmigung, sowie späterer Aktualisierungen, gegebenenfalls einschließlich konsolidierter Genehmigungsauflagen</w:t>
      </w:r>
      <w:r w:rsidR="00895869">
        <w:rPr>
          <w:i/>
          <w:iCs/>
          <w:lang w:val="de-DE"/>
        </w:rPr>
        <w:t xml:space="preserve"> </w:t>
      </w:r>
      <w:r w:rsidR="0010315B">
        <w:rPr>
          <w:i/>
          <w:iCs/>
          <w:lang w:val="de-DE"/>
        </w:rPr>
        <w:t>[…]</w:t>
      </w:r>
      <w:r w:rsidRPr="00BD02F5">
        <w:rPr>
          <w:i/>
          <w:iCs/>
          <w:lang w:val="de-DE"/>
        </w:rPr>
        <w:t>“</w:t>
      </w:r>
    </w:p>
    <w:p w14:paraId="79652906" w14:textId="32702A1A" w:rsidR="00A813C8" w:rsidRPr="00A813C8" w:rsidRDefault="00A813C8" w:rsidP="00A813C8">
      <w:pPr>
        <w:rPr>
          <w:lang w:val="de-DE"/>
        </w:rPr>
      </w:pPr>
      <w:r w:rsidRPr="00A813C8">
        <w:rPr>
          <w:lang w:val="de-DE"/>
        </w:rPr>
        <w:t>Deutlich wird –</w:t>
      </w:r>
      <w:r w:rsidR="002366A9">
        <w:rPr>
          <w:lang w:val="de-DE"/>
        </w:rPr>
        <w:t xml:space="preserve"> </w:t>
      </w:r>
      <w:proofErr w:type="gramStart"/>
      <w:r w:rsidRPr="00A813C8">
        <w:rPr>
          <w:lang w:val="de-DE"/>
        </w:rPr>
        <w:t>das zeigen</w:t>
      </w:r>
      <w:proofErr w:type="gramEnd"/>
      <w:r w:rsidRPr="00A813C8">
        <w:rPr>
          <w:lang w:val="de-DE"/>
        </w:rPr>
        <w:t xml:space="preserve"> auch Vergleiche mit anderen Sprachfassungen der IED –</w:t>
      </w:r>
      <w:r w:rsidR="00895869">
        <w:rPr>
          <w:lang w:val="de-DE"/>
        </w:rPr>
        <w:t>,</w:t>
      </w:r>
      <w:r w:rsidRPr="00A813C8">
        <w:rPr>
          <w:lang w:val="de-DE"/>
        </w:rPr>
        <w:t xml:space="preserve"> dass die IED </w:t>
      </w:r>
      <w:r w:rsidRPr="00B66DD1">
        <w:rPr>
          <w:b/>
          <w:bCs/>
          <w:lang w:val="de-DE"/>
        </w:rPr>
        <w:t>keine Behörden</w:t>
      </w:r>
      <w:r w:rsidR="00895869" w:rsidRPr="00B66DD1">
        <w:rPr>
          <w:b/>
          <w:bCs/>
          <w:lang w:val="de-DE"/>
        </w:rPr>
        <w:t>p</w:t>
      </w:r>
      <w:r w:rsidRPr="00B66DD1">
        <w:rPr>
          <w:b/>
          <w:bCs/>
          <w:lang w:val="de-DE"/>
        </w:rPr>
        <w:t xml:space="preserve">flicht zur Konsolidierung von Auflagen regelt, sondern eine Pflicht, Auflagen zu veröffentlichen, wenn sie von der Behörde in dem betreffenden Genehmigungsverfahren </w:t>
      </w:r>
      <w:r w:rsidR="0074611A" w:rsidRPr="00B66DD1">
        <w:rPr>
          <w:b/>
          <w:bCs/>
          <w:lang w:val="de-DE"/>
        </w:rPr>
        <w:t xml:space="preserve">tatsächlich </w:t>
      </w:r>
      <w:r w:rsidRPr="00B66DD1">
        <w:rPr>
          <w:b/>
          <w:bCs/>
          <w:lang w:val="de-DE"/>
        </w:rPr>
        <w:t>konsolidiert wurden</w:t>
      </w:r>
      <w:r w:rsidRPr="00A813C8">
        <w:rPr>
          <w:lang w:val="de-DE"/>
        </w:rPr>
        <w:t>. Denn nur dann sind sie auch für die Information der Öffentlichkeit relevant. Dies wird jedoch in den seltensten Fällen tatsächlich passieren, da die Behördenpraxis im Verfahren (und oft auch im Bescheid selbst) den Genehmigungsbestand der Anlage bereits prüft und in die neue Genehmigung inkorporiert. Es besteht im Verfahren in den seltensten Fällen ein Bedarf, die Nebenbestimmungen dann auch ausdrücklich zu konsolidieren.</w:t>
      </w:r>
    </w:p>
    <w:p w14:paraId="46D2502C" w14:textId="7498690D" w:rsidR="00477522" w:rsidRPr="00F31404" w:rsidRDefault="00A813C8" w:rsidP="00A813C8">
      <w:pPr>
        <w:rPr>
          <w:lang w:val="de-DE"/>
        </w:rPr>
      </w:pPr>
      <w:r w:rsidRPr="00A813C8">
        <w:rPr>
          <w:lang w:val="de-DE"/>
        </w:rPr>
        <w:t>Art</w:t>
      </w:r>
      <w:r w:rsidR="00D565C8">
        <w:rPr>
          <w:lang w:val="de-DE"/>
        </w:rPr>
        <w:t>.</w:t>
      </w:r>
      <w:r w:rsidRPr="00A813C8">
        <w:rPr>
          <w:lang w:val="de-DE"/>
        </w:rPr>
        <w:t xml:space="preserve"> 24 Abs. 2 Buchst. a) IED </w:t>
      </w:r>
      <w:r w:rsidR="007361F6">
        <w:rPr>
          <w:lang w:val="de-DE"/>
        </w:rPr>
        <w:t>sollte</w:t>
      </w:r>
      <w:r w:rsidRPr="00A813C8">
        <w:rPr>
          <w:lang w:val="de-DE"/>
        </w:rPr>
        <w:t xml:space="preserve"> daher so ins deutsche Recht </w:t>
      </w:r>
      <w:r w:rsidR="007361F6">
        <w:rPr>
          <w:lang w:val="de-DE"/>
        </w:rPr>
        <w:t>umgesetzt werden</w:t>
      </w:r>
      <w:r w:rsidRPr="00A813C8">
        <w:rPr>
          <w:lang w:val="de-DE"/>
        </w:rPr>
        <w:t xml:space="preserve">, dass </w:t>
      </w:r>
      <w:r w:rsidR="002366A9" w:rsidRPr="002366A9">
        <w:rPr>
          <w:b/>
          <w:bCs/>
          <w:lang w:val="de-DE"/>
        </w:rPr>
        <w:t xml:space="preserve">sich </w:t>
      </w:r>
      <w:r w:rsidRPr="002366A9">
        <w:rPr>
          <w:b/>
          <w:bCs/>
          <w:lang w:val="de-DE"/>
        </w:rPr>
        <w:t xml:space="preserve">eine Veröffentlichungspflicht nur auf ausdrücklich von der Behörde konsolidierte Genehmigungsauflagen beziehen </w:t>
      </w:r>
      <w:r w:rsidRPr="00A813C8">
        <w:rPr>
          <w:lang w:val="de-DE"/>
        </w:rPr>
        <w:t xml:space="preserve">darf </w:t>
      </w:r>
      <w:r w:rsidRPr="002366A9">
        <w:rPr>
          <w:b/>
          <w:bCs/>
          <w:lang w:val="de-DE"/>
        </w:rPr>
        <w:t>und</w:t>
      </w:r>
      <w:r w:rsidRPr="00A813C8">
        <w:rPr>
          <w:lang w:val="de-DE"/>
        </w:rPr>
        <w:t xml:space="preserve"> dies auch </w:t>
      </w:r>
      <w:r w:rsidRPr="002366A9">
        <w:rPr>
          <w:b/>
          <w:bCs/>
          <w:lang w:val="de-DE"/>
        </w:rPr>
        <w:t>nur auf solche, die den Regelungsgegenstand der IED betreffen</w:t>
      </w:r>
      <w:r w:rsidRPr="00A813C8">
        <w:rPr>
          <w:lang w:val="de-DE"/>
        </w:rPr>
        <w:t>.</w:t>
      </w:r>
    </w:p>
    <w:p w14:paraId="0D5A77DD" w14:textId="55B178D8" w:rsidR="00477522" w:rsidRPr="00C038F8" w:rsidRDefault="005A3FBD" w:rsidP="00477522">
      <w:pPr>
        <w:pStyle w:val="berschrift1"/>
        <w:rPr>
          <w:highlight w:val="cyan"/>
          <w:lang w:val="de-DE"/>
        </w:rPr>
      </w:pPr>
      <w:bookmarkStart w:id="31" w:name="_Toc187072921"/>
      <w:r w:rsidRPr="00C038F8">
        <w:rPr>
          <w:highlight w:val="cyan"/>
          <w:lang w:val="de-DE"/>
        </w:rPr>
        <w:t>1</w:t>
      </w:r>
      <w:r w:rsidR="00477522" w:rsidRPr="00C038F8">
        <w:rPr>
          <w:highlight w:val="cyan"/>
          <w:lang w:val="de-DE"/>
        </w:rPr>
        <w:t>.</w:t>
      </w:r>
      <w:r w:rsidR="00A34417" w:rsidRPr="00C038F8">
        <w:rPr>
          <w:highlight w:val="cyan"/>
          <w:lang w:val="de-DE"/>
        </w:rPr>
        <w:t>1</w:t>
      </w:r>
      <w:r w:rsidR="001532B5" w:rsidRPr="00C038F8">
        <w:rPr>
          <w:highlight w:val="cyan"/>
          <w:lang w:val="de-DE"/>
        </w:rPr>
        <w:t>6</w:t>
      </w:r>
      <w:r w:rsidR="00477522" w:rsidRPr="00C038F8">
        <w:rPr>
          <w:highlight w:val="cyan"/>
          <w:lang w:val="de-DE"/>
        </w:rPr>
        <w:t xml:space="preserve"> </w:t>
      </w:r>
      <w:r w:rsidR="002F4E23" w:rsidRPr="00C038F8">
        <w:rPr>
          <w:highlight w:val="cyan"/>
          <w:lang w:val="de-DE"/>
        </w:rPr>
        <w:t xml:space="preserve">Keine unmittelbare </w:t>
      </w:r>
      <w:r w:rsidR="00FB06CA" w:rsidRPr="00C038F8">
        <w:rPr>
          <w:highlight w:val="cyan"/>
          <w:lang w:val="de-DE"/>
        </w:rPr>
        <w:t xml:space="preserve">Anwendung von </w:t>
      </w:r>
      <w:r w:rsidR="002F4E23" w:rsidRPr="00C038F8">
        <w:rPr>
          <w:highlight w:val="cyan"/>
          <w:lang w:val="de-DE"/>
        </w:rPr>
        <w:t>neuen Emissionsbandbreiten</w:t>
      </w:r>
      <w:r w:rsidR="00FB06CA" w:rsidRPr="00C038F8">
        <w:rPr>
          <w:highlight w:val="cyan"/>
          <w:lang w:val="de-DE"/>
        </w:rPr>
        <w:t xml:space="preserve"> </w:t>
      </w:r>
      <w:r w:rsidR="00C038F8" w:rsidRPr="00C038F8">
        <w:rPr>
          <w:highlight w:val="cyan"/>
          <w:lang w:val="de-DE"/>
        </w:rPr>
        <w:t xml:space="preserve">auf </w:t>
      </w:r>
      <w:r w:rsidR="002F4E23" w:rsidRPr="00C038F8">
        <w:rPr>
          <w:highlight w:val="cyan"/>
          <w:lang w:val="de-DE"/>
        </w:rPr>
        <w:t>bestehende A</w:t>
      </w:r>
      <w:r w:rsidR="00FB06CA" w:rsidRPr="00C038F8">
        <w:rPr>
          <w:highlight w:val="cyan"/>
          <w:lang w:val="de-DE"/>
        </w:rPr>
        <w:t>nlagen</w:t>
      </w:r>
      <w:r w:rsidR="00C42341" w:rsidRPr="00C038F8">
        <w:rPr>
          <w:highlight w:val="cyan"/>
          <w:lang w:val="de-DE"/>
        </w:rPr>
        <w:t xml:space="preserve"> (§ 12 Abs. 1a</w:t>
      </w:r>
      <w:r w:rsidR="00FB06CA" w:rsidRPr="00C038F8">
        <w:rPr>
          <w:highlight w:val="cyan"/>
          <w:lang w:val="de-DE"/>
        </w:rPr>
        <w:t xml:space="preserve"> </w:t>
      </w:r>
      <w:r w:rsidR="003F2002" w:rsidRPr="00C038F8">
        <w:rPr>
          <w:highlight w:val="cyan"/>
          <w:lang w:val="de-DE"/>
        </w:rPr>
        <w:t>BImSchG</w:t>
      </w:r>
      <w:r w:rsidR="00C42341" w:rsidRPr="00C038F8">
        <w:rPr>
          <w:highlight w:val="cyan"/>
          <w:lang w:val="de-DE"/>
        </w:rPr>
        <w:t>)</w:t>
      </w:r>
      <w:bookmarkEnd w:id="31"/>
      <w:r w:rsidR="00C42341" w:rsidRPr="00C038F8">
        <w:rPr>
          <w:highlight w:val="cyan"/>
          <w:lang w:val="de-DE"/>
        </w:rPr>
        <w:t xml:space="preserve"> </w:t>
      </w:r>
    </w:p>
    <w:p w14:paraId="23A02798" w14:textId="515E26E4" w:rsidR="00F26305" w:rsidRPr="00C038F8" w:rsidRDefault="0060382B" w:rsidP="00383101">
      <w:pPr>
        <w:spacing w:after="160"/>
        <w:jc w:val="left"/>
        <w:rPr>
          <w:highlight w:val="cyan"/>
          <w:lang w:val="de-DE" w:bidi="en-US"/>
        </w:rPr>
      </w:pPr>
      <w:r w:rsidRPr="00C038F8">
        <w:rPr>
          <w:highlight w:val="cyan"/>
          <w:lang w:val="de-DE" w:bidi="en-US"/>
        </w:rPr>
        <w:t xml:space="preserve">§ 12 </w:t>
      </w:r>
      <w:r w:rsidR="0079013B" w:rsidRPr="00C038F8">
        <w:rPr>
          <w:highlight w:val="cyan"/>
          <w:lang w:val="de-DE" w:bidi="en-US"/>
        </w:rPr>
        <w:t>Abs. 1a BImSchG sollte spiegelbildlich zu §</w:t>
      </w:r>
      <w:r w:rsidR="00A07B3A" w:rsidRPr="00C038F8">
        <w:rPr>
          <w:highlight w:val="cyan"/>
          <w:lang w:val="de-DE" w:bidi="en-US"/>
        </w:rPr>
        <w:t>§</w:t>
      </w:r>
      <w:r w:rsidR="0079013B" w:rsidRPr="00C038F8">
        <w:rPr>
          <w:highlight w:val="cyan"/>
          <w:lang w:val="de-DE" w:bidi="en-US"/>
        </w:rPr>
        <w:t xml:space="preserve"> 7 Abs. 1a</w:t>
      </w:r>
      <w:r w:rsidR="000072D7" w:rsidRPr="00C038F8">
        <w:rPr>
          <w:highlight w:val="cyan"/>
          <w:lang w:val="de-DE" w:bidi="en-US"/>
        </w:rPr>
        <w:t>, 48 Abs. 1</w:t>
      </w:r>
      <w:r w:rsidR="0079013B" w:rsidRPr="00C038F8">
        <w:rPr>
          <w:highlight w:val="cyan"/>
          <w:lang w:val="de-DE" w:bidi="en-US"/>
        </w:rPr>
        <w:t xml:space="preserve"> </w:t>
      </w:r>
      <w:r w:rsidR="000B0E99" w:rsidRPr="00C038F8">
        <w:rPr>
          <w:highlight w:val="cyan"/>
          <w:lang w:val="de-DE" w:bidi="en-US"/>
        </w:rPr>
        <w:t xml:space="preserve">(neu) </w:t>
      </w:r>
      <w:r w:rsidR="0079013B" w:rsidRPr="00C038F8">
        <w:rPr>
          <w:highlight w:val="cyan"/>
          <w:lang w:val="de-DE" w:bidi="en-US"/>
        </w:rPr>
        <w:t>BImSchG formuliert werden.</w:t>
      </w:r>
      <w:r w:rsidR="000072D7" w:rsidRPr="00C038F8">
        <w:rPr>
          <w:highlight w:val="cyan"/>
          <w:lang w:val="de-DE" w:bidi="en-US"/>
        </w:rPr>
        <w:t xml:space="preserve"> Eine </w:t>
      </w:r>
      <w:r w:rsidR="00F26305" w:rsidRPr="00C038F8">
        <w:rPr>
          <w:highlight w:val="cyan"/>
          <w:lang w:val="de-DE" w:bidi="en-US"/>
        </w:rPr>
        <w:t>entsprechende Formulierung dient der Rechtsklarheit</w:t>
      </w:r>
      <w:r w:rsidR="0099023E" w:rsidRPr="00C038F8">
        <w:rPr>
          <w:highlight w:val="cyan"/>
          <w:lang w:val="de-DE" w:bidi="en-US"/>
        </w:rPr>
        <w:t xml:space="preserve"> und vermeidet Rechtsunsicherheiten.</w:t>
      </w:r>
    </w:p>
    <w:p w14:paraId="2D5D2B7A" w14:textId="4EDC71B4" w:rsidR="00541DB3" w:rsidRPr="00C038F8" w:rsidRDefault="00541DB3" w:rsidP="00383101">
      <w:pPr>
        <w:spacing w:after="160"/>
        <w:jc w:val="left"/>
        <w:rPr>
          <w:highlight w:val="cyan"/>
          <w:lang w:val="de-DE" w:bidi="en-US"/>
        </w:rPr>
      </w:pPr>
      <w:r w:rsidRPr="00C038F8">
        <w:rPr>
          <w:highlight w:val="cyan"/>
          <w:lang w:val="de-DE" w:bidi="en-US"/>
        </w:rPr>
        <w:t xml:space="preserve">Nach der vorgeschlagenen Fassung des § 12 Abs. 1a (neu) BImSchG </w:t>
      </w:r>
      <w:r w:rsidR="00487E57" w:rsidRPr="00C038F8">
        <w:rPr>
          <w:highlight w:val="cyan"/>
          <w:lang w:val="de-DE" w:bidi="en-US"/>
        </w:rPr>
        <w:t xml:space="preserve">scheint es so, als gelten die Emissionsbandbreiten aus neuen BVT-Schlussfolgerungen </w:t>
      </w:r>
      <w:r w:rsidR="005B1585" w:rsidRPr="00C038F8">
        <w:rPr>
          <w:highlight w:val="cyan"/>
          <w:lang w:val="de-DE" w:bidi="en-US"/>
        </w:rPr>
        <w:t xml:space="preserve">und Umweltleistungswerte unverzüglich </w:t>
      </w:r>
      <w:r w:rsidR="00B30A1A" w:rsidRPr="00C038F8">
        <w:rPr>
          <w:highlight w:val="cyan"/>
          <w:lang w:val="de-DE" w:bidi="en-US"/>
        </w:rPr>
        <w:t>nach der Veröffentlichung von BVT-Schlussfolgerungen auch für Bestandsanlagen. Dies kann nicht gewollt sein und entspricht nicht den IED-Vorgaben.</w:t>
      </w:r>
    </w:p>
    <w:p w14:paraId="65F99BCF" w14:textId="03C59528" w:rsidR="0079013B" w:rsidRDefault="00B30A1A" w:rsidP="00383101">
      <w:pPr>
        <w:spacing w:after="160"/>
        <w:jc w:val="left"/>
        <w:rPr>
          <w:lang w:val="de-DE" w:bidi="en-US"/>
        </w:rPr>
      </w:pPr>
      <w:r w:rsidRPr="00C038F8">
        <w:rPr>
          <w:highlight w:val="cyan"/>
          <w:lang w:val="de-DE" w:bidi="en-US"/>
        </w:rPr>
        <w:t>Zwecks Klarstellung des Gewollten sollte</w:t>
      </w:r>
      <w:r w:rsidR="0018256E" w:rsidRPr="00C038F8">
        <w:rPr>
          <w:highlight w:val="cyan"/>
          <w:lang w:val="de-DE" w:bidi="en-US"/>
        </w:rPr>
        <w:t xml:space="preserve"> </w:t>
      </w:r>
      <w:r w:rsidR="00C6411D" w:rsidRPr="00C038F8">
        <w:rPr>
          <w:highlight w:val="cyan"/>
          <w:lang w:val="de-DE" w:bidi="en-US"/>
        </w:rPr>
        <w:t>in § 12 Abs. 1 a ein zweiter Satz – wie in §§ 7 Abs. 1a und 48 BImSchG</w:t>
      </w:r>
      <w:r w:rsidR="00517B85" w:rsidRPr="00C038F8">
        <w:rPr>
          <w:highlight w:val="cyan"/>
          <w:lang w:val="de-DE" w:bidi="en-US"/>
        </w:rPr>
        <w:t xml:space="preserve"> – </w:t>
      </w:r>
      <w:r w:rsidR="00C6411D" w:rsidRPr="00C038F8">
        <w:rPr>
          <w:highlight w:val="cyan"/>
          <w:lang w:val="de-DE" w:bidi="en-US"/>
        </w:rPr>
        <w:t xml:space="preserve">für </w:t>
      </w:r>
      <w:r w:rsidR="00C6411D" w:rsidRPr="00C038F8">
        <w:rPr>
          <w:b/>
          <w:bCs/>
          <w:highlight w:val="cyan"/>
          <w:lang w:val="de-DE" w:bidi="en-US"/>
        </w:rPr>
        <w:t>bestehende Anlagen</w:t>
      </w:r>
      <w:r w:rsidR="00C6411D" w:rsidRPr="00C038F8">
        <w:rPr>
          <w:highlight w:val="cyan"/>
          <w:lang w:val="de-DE" w:bidi="en-US"/>
        </w:rPr>
        <w:t xml:space="preserve"> ergänzt werden, </w:t>
      </w:r>
      <w:r w:rsidR="00E83C9C" w:rsidRPr="00C038F8">
        <w:rPr>
          <w:highlight w:val="cyan"/>
          <w:lang w:val="de-DE" w:bidi="en-US"/>
        </w:rPr>
        <w:t xml:space="preserve">in dem klargestellt wird, dass für bestehende Anlagen innerhalb von vier </w:t>
      </w:r>
      <w:r w:rsidR="00172A4D" w:rsidRPr="00C038F8">
        <w:rPr>
          <w:highlight w:val="cyan"/>
          <w:lang w:val="de-DE" w:bidi="en-US"/>
        </w:rPr>
        <w:t>J</w:t>
      </w:r>
      <w:r w:rsidR="00E83C9C" w:rsidRPr="00C038F8">
        <w:rPr>
          <w:highlight w:val="cyan"/>
          <w:lang w:val="de-DE" w:bidi="en-US"/>
        </w:rPr>
        <w:t xml:space="preserve">ahren nach Veröffentlichung von BVT-Schlussfolgerungen zur Haupttätigkeit einer Anlage sicherzustellen ist, dass die </w:t>
      </w:r>
      <w:r w:rsidR="00112124" w:rsidRPr="00C038F8">
        <w:rPr>
          <w:highlight w:val="cyan"/>
          <w:lang w:val="de-DE" w:bidi="en-US"/>
        </w:rPr>
        <w:t>Emissionen unter normalen Betriebsbedingungen die in den BVT-Schlussfolgeru</w:t>
      </w:r>
      <w:r w:rsidR="00517B85" w:rsidRPr="00C038F8">
        <w:rPr>
          <w:highlight w:val="cyan"/>
          <w:lang w:val="de-DE" w:bidi="en-US"/>
        </w:rPr>
        <w:t>n</w:t>
      </w:r>
      <w:r w:rsidR="00112124" w:rsidRPr="00C038F8">
        <w:rPr>
          <w:highlight w:val="cyan"/>
          <w:lang w:val="de-DE" w:bidi="en-US"/>
        </w:rPr>
        <w:t xml:space="preserve">gen genannten Emissionsbandbreiten nicht überschreiten. </w:t>
      </w:r>
      <w:r w:rsidR="00475A96" w:rsidRPr="00C038F8">
        <w:rPr>
          <w:highlight w:val="cyan"/>
          <w:lang w:val="de-DE" w:bidi="en-US"/>
        </w:rPr>
        <w:t xml:space="preserve">Ein solcher zweiter Satz würde </w:t>
      </w:r>
      <w:r w:rsidR="00070EC3" w:rsidRPr="00C038F8">
        <w:rPr>
          <w:highlight w:val="cyan"/>
          <w:lang w:val="de-DE" w:bidi="en-US"/>
        </w:rPr>
        <w:t>die Differenzierung zwischen Neuanlagen und bestehenden Anlagen verdeutlichen.</w:t>
      </w:r>
      <w:r w:rsidR="00070EC3">
        <w:rPr>
          <w:lang w:val="de-DE" w:bidi="en-US"/>
        </w:rPr>
        <w:t xml:space="preserve"> </w:t>
      </w:r>
    </w:p>
    <w:p w14:paraId="543E4DD8" w14:textId="31D3F21C" w:rsidR="0060382B" w:rsidRDefault="000D24BA" w:rsidP="000D24BA">
      <w:pPr>
        <w:pStyle w:val="berschrift1"/>
        <w:rPr>
          <w:lang w:val="de-DE"/>
        </w:rPr>
      </w:pPr>
      <w:bookmarkStart w:id="32" w:name="_Toc187072922"/>
      <w:r>
        <w:rPr>
          <w:lang w:val="de-DE"/>
        </w:rPr>
        <w:lastRenderedPageBreak/>
        <w:t>1.1</w:t>
      </w:r>
      <w:r w:rsidR="00E82F9F">
        <w:rPr>
          <w:lang w:val="de-DE"/>
        </w:rPr>
        <w:t>7</w:t>
      </w:r>
      <w:r w:rsidRPr="00091C0D">
        <w:rPr>
          <w:lang w:val="de-DE"/>
        </w:rPr>
        <w:t xml:space="preserve"> </w:t>
      </w:r>
      <w:r w:rsidRPr="00C42341">
        <w:rPr>
          <w:lang w:val="de-DE"/>
        </w:rPr>
        <w:t xml:space="preserve">Keine unmittelbare Anwendung von </w:t>
      </w:r>
      <w:r>
        <w:rPr>
          <w:lang w:val="de-DE"/>
        </w:rPr>
        <w:t>Umweltleistungswerten</w:t>
      </w:r>
      <w:r w:rsidRPr="00C42341">
        <w:rPr>
          <w:lang w:val="de-DE"/>
        </w:rPr>
        <w:t xml:space="preserve"> </w:t>
      </w:r>
      <w:r w:rsidR="00C038F8">
        <w:rPr>
          <w:highlight w:val="cyan"/>
          <w:lang w:val="de-DE"/>
        </w:rPr>
        <w:t xml:space="preserve">auf </w:t>
      </w:r>
      <w:r w:rsidRPr="000D24BA">
        <w:rPr>
          <w:highlight w:val="cyan"/>
          <w:lang w:val="de-DE"/>
        </w:rPr>
        <w:t>bestehende Anlagen</w:t>
      </w:r>
      <w:r>
        <w:rPr>
          <w:lang w:val="de-DE"/>
        </w:rPr>
        <w:t xml:space="preserve"> </w:t>
      </w:r>
      <w:r w:rsidRPr="00C42341">
        <w:rPr>
          <w:lang w:val="de-DE"/>
        </w:rPr>
        <w:t>(§ 12 Abs. 1a</w:t>
      </w:r>
      <w:r>
        <w:rPr>
          <w:lang w:val="de-DE"/>
        </w:rPr>
        <w:t xml:space="preserve"> Nr. 2</w:t>
      </w:r>
      <w:r>
        <w:rPr>
          <w:lang w:val="de-DE"/>
        </w:rPr>
        <w:t xml:space="preserve"> </w:t>
      </w:r>
      <w:r>
        <w:rPr>
          <w:lang w:val="de-DE"/>
        </w:rPr>
        <w:t>BImSchG</w:t>
      </w:r>
      <w:r w:rsidRPr="00C42341">
        <w:rPr>
          <w:lang w:val="de-DE"/>
        </w:rPr>
        <w:t>)</w:t>
      </w:r>
      <w:bookmarkEnd w:id="32"/>
      <w:r>
        <w:rPr>
          <w:lang w:val="de-DE"/>
        </w:rPr>
        <w:t xml:space="preserve"> </w:t>
      </w:r>
    </w:p>
    <w:p w14:paraId="3460FEF0" w14:textId="22CC116A" w:rsidR="00D056CF" w:rsidRPr="008B1D8B" w:rsidRDefault="00BD724A" w:rsidP="00383101">
      <w:pPr>
        <w:spacing w:after="160"/>
        <w:jc w:val="left"/>
        <w:rPr>
          <w:lang w:val="de-DE" w:bidi="en-US"/>
        </w:rPr>
      </w:pPr>
      <w:r w:rsidRPr="000D24BA">
        <w:rPr>
          <w:highlight w:val="cyan"/>
          <w:lang w:val="de-DE" w:bidi="en-US"/>
        </w:rPr>
        <w:t xml:space="preserve">In </w:t>
      </w:r>
      <w:r w:rsidR="00D056CF" w:rsidRPr="000D24BA">
        <w:rPr>
          <w:highlight w:val="cyan"/>
          <w:lang w:val="de-DE" w:bidi="en-US"/>
        </w:rPr>
        <w:t xml:space="preserve">§ 12 Abs. 1a </w:t>
      </w:r>
      <w:r w:rsidR="00A22387" w:rsidRPr="000D24BA">
        <w:rPr>
          <w:b/>
          <w:bCs/>
          <w:highlight w:val="cyan"/>
          <w:lang w:val="de-DE" w:bidi="en-US"/>
        </w:rPr>
        <w:t>Nr. 2</w:t>
      </w:r>
      <w:r w:rsidR="00A22387" w:rsidRPr="000D24BA">
        <w:rPr>
          <w:highlight w:val="cyan"/>
          <w:lang w:val="de-DE" w:bidi="en-US"/>
        </w:rPr>
        <w:t xml:space="preserve"> </w:t>
      </w:r>
      <w:r w:rsidR="00D056CF" w:rsidRPr="000D24BA">
        <w:rPr>
          <w:highlight w:val="cyan"/>
          <w:lang w:val="de-DE" w:bidi="en-US"/>
        </w:rPr>
        <w:t xml:space="preserve">BImSchG </w:t>
      </w:r>
      <w:r w:rsidRPr="000D24BA">
        <w:rPr>
          <w:highlight w:val="cyan"/>
          <w:lang w:val="de-DE" w:bidi="en-US"/>
        </w:rPr>
        <w:t xml:space="preserve">muss klargestellt werden, dass die </w:t>
      </w:r>
      <w:r w:rsidR="00EC67D5" w:rsidRPr="000D24BA">
        <w:rPr>
          <w:highlight w:val="cyan"/>
          <w:lang w:val="de-DE" w:bidi="en-US"/>
        </w:rPr>
        <w:t xml:space="preserve">verbindlichen Spannen für die Umweltleistung </w:t>
      </w:r>
      <w:r w:rsidR="00EC67D5" w:rsidRPr="000D24BA">
        <w:rPr>
          <w:b/>
          <w:bCs/>
          <w:highlight w:val="cyan"/>
          <w:lang w:val="de-DE" w:bidi="en-US"/>
        </w:rPr>
        <w:t>nur für Neuanlagen</w:t>
      </w:r>
      <w:r w:rsidR="00EC67D5" w:rsidRPr="000D24BA">
        <w:rPr>
          <w:highlight w:val="cyan"/>
          <w:lang w:val="de-DE" w:bidi="en-US"/>
        </w:rPr>
        <w:t xml:space="preserve"> unverzüglich gelten</w:t>
      </w:r>
      <w:r w:rsidR="008B1D8B" w:rsidRPr="000D24BA">
        <w:rPr>
          <w:highlight w:val="cyan"/>
          <w:lang w:val="de-DE" w:bidi="en-US"/>
        </w:rPr>
        <w:t xml:space="preserve"> und </w:t>
      </w:r>
      <w:r w:rsidR="008B1D8B" w:rsidRPr="000D24BA">
        <w:rPr>
          <w:b/>
          <w:bCs/>
          <w:highlight w:val="cyan"/>
          <w:lang w:val="de-DE" w:bidi="en-US"/>
        </w:rPr>
        <w:t>nicht für bestehende Anlagen</w:t>
      </w:r>
      <w:r w:rsidR="00583A44" w:rsidRPr="000D24BA">
        <w:rPr>
          <w:highlight w:val="cyan"/>
          <w:lang w:val="de-DE" w:bidi="en-US"/>
        </w:rPr>
        <w:t>.</w:t>
      </w:r>
    </w:p>
    <w:p w14:paraId="3845F688" w14:textId="009392FB" w:rsidR="00383101" w:rsidRDefault="00383101" w:rsidP="00383101">
      <w:pPr>
        <w:spacing w:after="160"/>
        <w:jc w:val="left"/>
        <w:rPr>
          <w:lang w:val="de-DE" w:bidi="en-US"/>
        </w:rPr>
      </w:pPr>
      <w:r w:rsidRPr="00623D6E">
        <w:rPr>
          <w:lang w:val="de-DE" w:bidi="en-US"/>
        </w:rPr>
        <w:t xml:space="preserve">Der neu gefasste § 12 Abs. 1a </w:t>
      </w:r>
      <w:r w:rsidR="0064068C" w:rsidRPr="00AB1F75">
        <w:rPr>
          <w:b/>
          <w:bCs/>
          <w:lang w:val="de-DE" w:bidi="en-US"/>
        </w:rPr>
        <w:t>Nr. 2</w:t>
      </w:r>
      <w:r w:rsidR="0064068C">
        <w:rPr>
          <w:lang w:val="de-DE" w:bidi="en-US"/>
        </w:rPr>
        <w:t xml:space="preserve"> </w:t>
      </w:r>
      <w:r w:rsidRPr="00623D6E">
        <w:rPr>
          <w:lang w:val="de-DE" w:bidi="en-US"/>
        </w:rPr>
        <w:t>BImSchG</w:t>
      </w:r>
      <w:r w:rsidR="00D056CF" w:rsidRPr="00623D6E">
        <w:rPr>
          <w:lang w:val="de-DE" w:bidi="en-US"/>
        </w:rPr>
        <w:t xml:space="preserve"> </w:t>
      </w:r>
      <w:r w:rsidRPr="00623D6E">
        <w:rPr>
          <w:lang w:val="de-DE" w:bidi="en-US"/>
        </w:rPr>
        <w:t>verlangt, dass die zuständigen Behörden im ersten Jahr nach der Veröffentlichung von BVT-Schlussfolgerungen</w:t>
      </w:r>
      <w:r w:rsidR="000D7ECE" w:rsidRPr="00623D6E">
        <w:rPr>
          <w:lang w:val="de-DE" w:bidi="en-US"/>
        </w:rPr>
        <w:t>,</w:t>
      </w:r>
      <w:r w:rsidRPr="00623D6E">
        <w:rPr>
          <w:lang w:val="de-DE" w:bidi="en-US"/>
        </w:rPr>
        <w:t xml:space="preserve"> die </w:t>
      </w:r>
      <w:r w:rsidR="007D51FA">
        <w:rPr>
          <w:lang w:val="de-DE" w:bidi="en-US"/>
        </w:rPr>
        <w:t xml:space="preserve">Einhaltung der </w:t>
      </w:r>
      <w:r w:rsidR="0064068C">
        <w:rPr>
          <w:lang w:val="de-DE" w:bidi="en-US"/>
        </w:rPr>
        <w:t xml:space="preserve">Umweltleistungswerte </w:t>
      </w:r>
      <w:r w:rsidR="009C3C1D">
        <w:rPr>
          <w:lang w:val="de-DE" w:bidi="en-US"/>
        </w:rPr>
        <w:t xml:space="preserve">bei der Erteilung der </w:t>
      </w:r>
      <w:r w:rsidR="00BA37AD">
        <w:rPr>
          <w:lang w:val="de-DE" w:bidi="en-US"/>
        </w:rPr>
        <w:t>G</w:t>
      </w:r>
      <w:r w:rsidR="009C3C1D">
        <w:rPr>
          <w:lang w:val="de-DE" w:bidi="en-US"/>
        </w:rPr>
        <w:t xml:space="preserve">enehmigung sicherzustellen hat. </w:t>
      </w:r>
    </w:p>
    <w:p w14:paraId="7DFBC581" w14:textId="65CFF280" w:rsidR="00E16A6A" w:rsidRDefault="00A63257" w:rsidP="00383101">
      <w:pPr>
        <w:spacing w:after="160"/>
        <w:jc w:val="left"/>
        <w:rPr>
          <w:lang w:val="de-DE" w:bidi="en-US"/>
        </w:rPr>
      </w:pPr>
      <w:r>
        <w:rPr>
          <w:lang w:val="de-DE" w:bidi="en-US"/>
        </w:rPr>
        <w:t>D</w:t>
      </w:r>
      <w:r w:rsidRPr="00623D6E">
        <w:rPr>
          <w:lang w:val="de-DE" w:bidi="en-US"/>
        </w:rPr>
        <w:t xml:space="preserve">iese Regelung </w:t>
      </w:r>
      <w:r>
        <w:rPr>
          <w:lang w:val="de-DE" w:bidi="en-US"/>
        </w:rPr>
        <w:t xml:space="preserve">steht </w:t>
      </w:r>
      <w:r w:rsidRPr="00623D6E">
        <w:rPr>
          <w:lang w:val="de-DE" w:bidi="en-US"/>
        </w:rPr>
        <w:t>im Widerspruch zu Art.</w:t>
      </w:r>
      <w:r w:rsidR="007D51FA">
        <w:rPr>
          <w:lang w:val="de-DE" w:bidi="en-US"/>
        </w:rPr>
        <w:t xml:space="preserve"> 3 Abs. 1 </w:t>
      </w:r>
      <w:proofErr w:type="spellStart"/>
      <w:r w:rsidR="007D51FA">
        <w:rPr>
          <w:lang w:val="de-DE" w:bidi="en-US"/>
        </w:rPr>
        <w:t>UAbs</w:t>
      </w:r>
      <w:proofErr w:type="spellEnd"/>
      <w:r w:rsidR="007D51FA">
        <w:rPr>
          <w:lang w:val="de-DE" w:bidi="en-US"/>
        </w:rPr>
        <w:t>. 1</w:t>
      </w:r>
      <w:r w:rsidRPr="00623D6E">
        <w:rPr>
          <w:lang w:val="de-DE" w:bidi="en-US"/>
        </w:rPr>
        <w:t xml:space="preserve"> IED</w:t>
      </w:r>
      <w:r w:rsidR="00163E94">
        <w:rPr>
          <w:lang w:val="de-DE" w:bidi="en-US"/>
        </w:rPr>
        <w:t xml:space="preserve"> </w:t>
      </w:r>
      <w:r w:rsidR="00163E94" w:rsidRPr="00163E94">
        <w:rPr>
          <w:highlight w:val="cyan"/>
          <w:lang w:val="de-DE" w:bidi="en-US"/>
        </w:rPr>
        <w:t>(Übergangsvorschrift)</w:t>
      </w:r>
      <w:r w:rsidRPr="00623D6E">
        <w:rPr>
          <w:lang w:val="de-DE" w:bidi="en-US"/>
        </w:rPr>
        <w:t xml:space="preserve">, wonach </w:t>
      </w:r>
      <w:r w:rsidR="00180B7D" w:rsidRPr="00180B7D">
        <w:rPr>
          <w:b/>
          <w:bCs/>
          <w:highlight w:val="cyan"/>
          <w:lang w:val="de-DE" w:bidi="en-US"/>
        </w:rPr>
        <w:t>bei bestehenden Anlagen</w:t>
      </w:r>
      <w:r w:rsidR="00180B7D">
        <w:rPr>
          <w:lang w:val="de-DE" w:bidi="en-US"/>
        </w:rPr>
        <w:t xml:space="preserve"> </w:t>
      </w:r>
      <w:r w:rsidRPr="00623D6E">
        <w:rPr>
          <w:b/>
          <w:bCs/>
          <w:lang w:val="de-DE" w:bidi="en-US"/>
        </w:rPr>
        <w:t>erst innerhalb von vier Jahren nach der Veröffentlichung von Entscheidungen über BVT-Schlussfolgerungen</w:t>
      </w:r>
      <w:r w:rsidRPr="00623D6E">
        <w:rPr>
          <w:lang w:val="de-DE" w:bidi="en-US"/>
        </w:rPr>
        <w:t xml:space="preserve"> die Anforderungen aus den BVT </w:t>
      </w:r>
      <w:r w:rsidR="00E7490D">
        <w:rPr>
          <w:lang w:val="de-DE" w:bidi="en-US"/>
        </w:rPr>
        <w:t>in Hinblick auf die verbindlichen Spannen von</w:t>
      </w:r>
      <w:r w:rsidRPr="00623D6E">
        <w:rPr>
          <w:lang w:val="de-DE" w:bidi="en-US"/>
        </w:rPr>
        <w:t xml:space="preserve"> Umweltleistung</w:t>
      </w:r>
      <w:r w:rsidR="00E7490D">
        <w:rPr>
          <w:lang w:val="de-DE" w:bidi="en-US"/>
        </w:rPr>
        <w:t>en</w:t>
      </w:r>
      <w:r w:rsidRPr="00623D6E">
        <w:rPr>
          <w:lang w:val="de-DE" w:bidi="en-US"/>
        </w:rPr>
        <w:t xml:space="preserve"> einzuhalten sind. </w:t>
      </w:r>
      <w:r w:rsidR="00E16A6A">
        <w:rPr>
          <w:lang w:val="de-DE" w:bidi="en-US"/>
        </w:rPr>
        <w:t xml:space="preserve">In Art. 3 Abs. 2 </w:t>
      </w:r>
      <w:r w:rsidR="00846690">
        <w:rPr>
          <w:lang w:val="de-DE" w:bidi="en-US"/>
        </w:rPr>
        <w:t>wird explizit nicht auf die verbindlichen Spannen für die Umweltleistung verwiesen (Art. 15 Abs. 4 IED).</w:t>
      </w:r>
    </w:p>
    <w:p w14:paraId="064A7F53" w14:textId="1BD7085C" w:rsidR="00A63257" w:rsidRPr="00623D6E" w:rsidRDefault="00195CB3" w:rsidP="00383101">
      <w:pPr>
        <w:spacing w:after="160"/>
        <w:jc w:val="left"/>
        <w:rPr>
          <w:lang w:val="de-DE" w:bidi="en-US"/>
        </w:rPr>
      </w:pPr>
      <w:r>
        <w:rPr>
          <w:lang w:val="de-DE" w:bidi="en-US"/>
        </w:rPr>
        <w:t>Eine</w:t>
      </w:r>
      <w:r w:rsidRPr="00444EDB">
        <w:rPr>
          <w:strike/>
          <w:lang w:val="de-DE" w:bidi="en-US"/>
        </w:rPr>
        <w:t xml:space="preserve"> </w:t>
      </w:r>
      <w:r w:rsidRPr="00444EDB">
        <w:rPr>
          <w:strike/>
          <w:highlight w:val="cyan"/>
          <w:lang w:val="de-DE" w:bidi="en-US"/>
        </w:rPr>
        <w:t>europarechtlich</w:t>
      </w:r>
      <w:r>
        <w:rPr>
          <w:lang w:val="de-DE" w:bidi="en-US"/>
        </w:rPr>
        <w:t xml:space="preserve"> unmittelbare Anwendung von BVT-Schlussfolgerungen </w:t>
      </w:r>
      <w:r w:rsidR="00061297" w:rsidRPr="00061297">
        <w:rPr>
          <w:highlight w:val="cyan"/>
          <w:lang w:val="de-DE" w:bidi="en-US"/>
        </w:rPr>
        <w:t>auf bestehende Anlagen</w:t>
      </w:r>
      <w:r w:rsidR="00061297">
        <w:rPr>
          <w:lang w:val="de-DE" w:bidi="en-US"/>
        </w:rPr>
        <w:t xml:space="preserve"> </w:t>
      </w:r>
      <w:r>
        <w:rPr>
          <w:lang w:val="de-DE" w:bidi="en-US"/>
        </w:rPr>
        <w:t xml:space="preserve">ist </w:t>
      </w:r>
      <w:r w:rsidR="00E16A6A">
        <w:rPr>
          <w:lang w:val="de-DE" w:bidi="en-US"/>
        </w:rPr>
        <w:t xml:space="preserve">daher </w:t>
      </w:r>
      <w:r w:rsidR="00C84AF9" w:rsidRPr="00C84AF9">
        <w:rPr>
          <w:highlight w:val="cyan"/>
          <w:lang w:val="de-DE" w:bidi="en-US"/>
        </w:rPr>
        <w:t>europa</w:t>
      </w:r>
      <w:r>
        <w:rPr>
          <w:lang w:val="de-DE" w:bidi="en-US"/>
        </w:rPr>
        <w:t>rechtlich nicht geboten und geht über eine 1:1-Umsetzung der IED-Richtlinie hinaus.</w:t>
      </w:r>
    </w:p>
    <w:p w14:paraId="1BB58C2C" w14:textId="1E81499E" w:rsidR="00C81C4B" w:rsidRDefault="005A3FBD" w:rsidP="00C81C4B">
      <w:pPr>
        <w:pStyle w:val="berschrift1"/>
        <w:rPr>
          <w:lang w:val="de-DE"/>
        </w:rPr>
      </w:pPr>
      <w:bookmarkStart w:id="33" w:name="_Toc187072923"/>
      <w:r>
        <w:rPr>
          <w:lang w:val="de-DE"/>
        </w:rPr>
        <w:t>1</w:t>
      </w:r>
      <w:r w:rsidR="00C81C4B">
        <w:rPr>
          <w:lang w:val="de-DE"/>
        </w:rPr>
        <w:t>.1</w:t>
      </w:r>
      <w:r w:rsidR="00E82F9F">
        <w:rPr>
          <w:lang w:val="de-DE"/>
        </w:rPr>
        <w:t>8</w:t>
      </w:r>
      <w:r w:rsidR="00E43CA5">
        <w:rPr>
          <w:lang w:val="de-DE"/>
        </w:rPr>
        <w:t xml:space="preserve"> </w:t>
      </w:r>
      <w:r w:rsidR="00C81C4B" w:rsidRPr="00FC75D2">
        <w:rPr>
          <w:lang w:val="de-DE"/>
        </w:rPr>
        <w:t xml:space="preserve">Regelungen zu Ausnahmen und </w:t>
      </w:r>
      <w:r w:rsidR="009A7359">
        <w:rPr>
          <w:lang w:val="de-DE"/>
        </w:rPr>
        <w:t>i</w:t>
      </w:r>
      <w:r w:rsidR="00C81C4B" w:rsidRPr="00FC75D2">
        <w:rPr>
          <w:lang w:val="de-DE"/>
        </w:rPr>
        <w:t>ndustrieller Transformation ergänzen</w:t>
      </w:r>
      <w:r w:rsidR="00E43CA5">
        <w:rPr>
          <w:lang w:val="de-DE"/>
        </w:rPr>
        <w:t xml:space="preserve"> </w:t>
      </w:r>
      <w:r w:rsidR="00E43CA5">
        <w:rPr>
          <w:lang w:val="de-DE"/>
        </w:rPr>
        <w:br/>
        <w:t>(</w:t>
      </w:r>
      <w:r w:rsidR="00E43CA5" w:rsidRPr="00FC75D2">
        <w:rPr>
          <w:lang w:val="de-DE"/>
        </w:rPr>
        <w:t>§ 1</w:t>
      </w:r>
      <w:r w:rsidR="00E43CA5">
        <w:rPr>
          <w:lang w:val="de-DE"/>
        </w:rPr>
        <w:t>2 BImSchG)</w:t>
      </w:r>
      <w:bookmarkEnd w:id="33"/>
    </w:p>
    <w:p w14:paraId="171A3C4D" w14:textId="7993627B" w:rsidR="00C81C4B" w:rsidRPr="00FC75D2" w:rsidRDefault="00C81C4B" w:rsidP="00C81C4B">
      <w:pPr>
        <w:spacing w:after="160"/>
        <w:jc w:val="left"/>
        <w:rPr>
          <w:lang w:val="de-DE" w:bidi="en-US"/>
        </w:rPr>
      </w:pPr>
      <w:r w:rsidRPr="00FC75D2">
        <w:rPr>
          <w:lang w:val="de-DE" w:bidi="en-US"/>
        </w:rPr>
        <w:t>Wie oben zu § 7 näher ausgeführt, sollten auch in § 1</w:t>
      </w:r>
      <w:r w:rsidR="00E43CA5">
        <w:rPr>
          <w:lang w:val="de-DE" w:bidi="en-US"/>
        </w:rPr>
        <w:t>2</w:t>
      </w:r>
      <w:r w:rsidRPr="00FC75D2">
        <w:rPr>
          <w:lang w:val="de-DE" w:bidi="en-US"/>
        </w:rPr>
        <w:t xml:space="preserve"> folgende Regelungen </w:t>
      </w:r>
      <w:r w:rsidR="008D7BE2">
        <w:rPr>
          <w:lang w:val="de-DE" w:bidi="en-US"/>
        </w:rPr>
        <w:t xml:space="preserve">zum Ausnahmekatalog </w:t>
      </w:r>
      <w:r w:rsidRPr="00FC75D2">
        <w:rPr>
          <w:lang w:val="de-DE" w:bidi="en-US"/>
        </w:rPr>
        <w:t>ergänzt werden</w:t>
      </w:r>
      <w:r w:rsidR="00E43CA5">
        <w:rPr>
          <w:lang w:val="de-DE" w:bidi="en-US"/>
        </w:rPr>
        <w:t>:</w:t>
      </w:r>
    </w:p>
    <w:p w14:paraId="642EE8E6" w14:textId="77777777" w:rsidR="000C12AA" w:rsidRDefault="007F03C0" w:rsidP="00F03B6F">
      <w:pPr>
        <w:pStyle w:val="Listenabsatz"/>
        <w:numPr>
          <w:ilvl w:val="0"/>
          <w:numId w:val="9"/>
        </w:numPr>
        <w:spacing w:after="0"/>
        <w:ind w:left="1066" w:hanging="357"/>
        <w:jc w:val="left"/>
        <w:rPr>
          <w:lang w:val="de-DE" w:bidi="en-US"/>
        </w:rPr>
      </w:pPr>
      <w:r w:rsidRPr="007F03C0">
        <w:rPr>
          <w:lang w:val="de-DE" w:bidi="en-US"/>
        </w:rPr>
        <w:t>Ausnahmekatalog vervollständigen: Aufnahme des geografischen Standorts und der lokalen Umweltbedingungen</w:t>
      </w:r>
    </w:p>
    <w:p w14:paraId="5025B211" w14:textId="77777777" w:rsidR="00B73D14" w:rsidRDefault="005554D4" w:rsidP="00F03B6F">
      <w:pPr>
        <w:pStyle w:val="Listenabsatz"/>
        <w:numPr>
          <w:ilvl w:val="0"/>
          <w:numId w:val="9"/>
        </w:numPr>
        <w:spacing w:after="0"/>
        <w:ind w:left="1066" w:hanging="357"/>
        <w:jc w:val="left"/>
        <w:rPr>
          <w:lang w:val="de-DE" w:bidi="en-US"/>
        </w:rPr>
      </w:pPr>
      <w:r w:rsidRPr="000C12AA">
        <w:rPr>
          <w:lang w:val="de-DE" w:bidi="en-US"/>
        </w:rPr>
        <w:t xml:space="preserve">Aufwändiges </w:t>
      </w:r>
      <w:r w:rsidR="000C12AA" w:rsidRPr="000C12AA">
        <w:rPr>
          <w:lang w:val="de-DE" w:bidi="en-US"/>
        </w:rPr>
        <w:t xml:space="preserve">europarechtliches </w:t>
      </w:r>
      <w:r w:rsidRPr="000C12AA">
        <w:rPr>
          <w:lang w:val="de-DE" w:bidi="en-US"/>
        </w:rPr>
        <w:t>Ausnahmeverfahren darf nicht für Festlegung von Grenzwerten innerhalb europäischer Bandbreiten gelten</w:t>
      </w:r>
    </w:p>
    <w:p w14:paraId="0BAE5D64" w14:textId="77777777" w:rsidR="00B73D14" w:rsidRDefault="00C81C4B" w:rsidP="00F03B6F">
      <w:pPr>
        <w:pStyle w:val="Listenabsatz"/>
        <w:numPr>
          <w:ilvl w:val="0"/>
          <w:numId w:val="9"/>
        </w:numPr>
        <w:spacing w:after="0"/>
        <w:ind w:left="1066" w:hanging="357"/>
        <w:jc w:val="left"/>
        <w:rPr>
          <w:lang w:val="de-DE" w:bidi="en-US"/>
        </w:rPr>
      </w:pPr>
      <w:r w:rsidRPr="00B73D14">
        <w:rPr>
          <w:lang w:val="de-DE" w:bidi="en-US"/>
        </w:rPr>
        <w:t xml:space="preserve">Ausnahmeregelung zum Krisenfall </w:t>
      </w:r>
      <w:r w:rsidR="00B73D14" w:rsidRPr="00B73D14">
        <w:rPr>
          <w:lang w:val="de-DE" w:bidi="en-US"/>
        </w:rPr>
        <w:t>umsetzen</w:t>
      </w:r>
    </w:p>
    <w:p w14:paraId="77E7568E" w14:textId="5F1D432E" w:rsidR="006F0C04" w:rsidRPr="00F06550" w:rsidRDefault="00C55FA1" w:rsidP="00F03B6F">
      <w:pPr>
        <w:pStyle w:val="Listenabsatz"/>
        <w:numPr>
          <w:ilvl w:val="0"/>
          <w:numId w:val="9"/>
        </w:numPr>
        <w:spacing w:after="0"/>
        <w:ind w:left="1066" w:hanging="357"/>
        <w:jc w:val="left"/>
        <w:rPr>
          <w:highlight w:val="cyan"/>
          <w:lang w:val="de-DE" w:bidi="en-US"/>
        </w:rPr>
      </w:pPr>
      <w:r>
        <w:rPr>
          <w:lang w:val="de-DE" w:bidi="en-US"/>
        </w:rPr>
        <w:t xml:space="preserve">Klarstellende </w:t>
      </w:r>
      <w:r w:rsidR="00C81C4B" w:rsidRPr="00B73D14">
        <w:rPr>
          <w:lang w:val="de-DE" w:bidi="en-US"/>
        </w:rPr>
        <w:t>Regelung</w:t>
      </w:r>
      <w:r w:rsidR="00B73D14">
        <w:rPr>
          <w:lang w:val="de-DE" w:bidi="en-US"/>
        </w:rPr>
        <w:t>en</w:t>
      </w:r>
      <w:r w:rsidR="00C81C4B" w:rsidRPr="00B73D14">
        <w:rPr>
          <w:lang w:val="de-DE" w:bidi="en-US"/>
        </w:rPr>
        <w:t xml:space="preserve"> zur tiefgreifenden industriellen Transformation</w:t>
      </w:r>
      <w:r w:rsidR="002F392A">
        <w:rPr>
          <w:lang w:val="de-DE" w:bidi="en-US"/>
        </w:rPr>
        <w:t xml:space="preserve"> </w:t>
      </w:r>
      <w:bookmarkStart w:id="34" w:name="_Hlk186797397"/>
      <w:r w:rsidR="002F392A">
        <w:rPr>
          <w:lang w:val="de-DE" w:bidi="en-US"/>
        </w:rPr>
        <w:t>(Frist</w:t>
      </w:r>
      <w:r w:rsidR="00EB0379">
        <w:rPr>
          <w:lang w:val="de-DE" w:bidi="en-US"/>
        </w:rPr>
        <w:t xml:space="preserve">, </w:t>
      </w:r>
      <w:r w:rsidR="002F392A">
        <w:rPr>
          <w:lang w:val="de-DE" w:bidi="en-US"/>
        </w:rPr>
        <w:t>Anlagenstandort</w:t>
      </w:r>
      <w:r w:rsidR="00EB0379">
        <w:rPr>
          <w:lang w:val="de-DE" w:bidi="en-US"/>
        </w:rPr>
        <w:t xml:space="preserve"> und </w:t>
      </w:r>
      <w:r w:rsidR="00EB0379" w:rsidRPr="00F06550">
        <w:rPr>
          <w:highlight w:val="cyan"/>
          <w:lang w:val="de-DE" w:bidi="en-US"/>
        </w:rPr>
        <w:t>Soll-Vorschrift</w:t>
      </w:r>
      <w:r w:rsidR="002F392A" w:rsidRPr="00F06550">
        <w:rPr>
          <w:highlight w:val="cyan"/>
          <w:lang w:val="de-DE" w:bidi="en-US"/>
        </w:rPr>
        <w:t xml:space="preserve"> siehe oben)</w:t>
      </w:r>
    </w:p>
    <w:p w14:paraId="28021120" w14:textId="448FB1BC" w:rsidR="00477522" w:rsidRPr="00F06550" w:rsidRDefault="006F0C04" w:rsidP="00F03B6F">
      <w:pPr>
        <w:pStyle w:val="Listenabsatz"/>
        <w:numPr>
          <w:ilvl w:val="0"/>
          <w:numId w:val="9"/>
        </w:numPr>
        <w:spacing w:after="0"/>
        <w:ind w:left="1066" w:hanging="357"/>
        <w:jc w:val="left"/>
        <w:rPr>
          <w:highlight w:val="cyan"/>
          <w:lang w:val="de-DE" w:bidi="en-US"/>
        </w:rPr>
      </w:pPr>
      <w:r w:rsidRPr="00F06550">
        <w:rPr>
          <w:highlight w:val="cyan"/>
          <w:lang w:val="de-DE" w:bidi="en-US"/>
        </w:rPr>
        <w:t>Ausnahmevorschrift Zukunftstechniken als Soll-Vorschrift etablieren</w:t>
      </w:r>
      <w:r w:rsidR="00990746" w:rsidRPr="00F06550">
        <w:rPr>
          <w:highlight w:val="cyan"/>
          <w:lang w:val="de-DE" w:bidi="en-US"/>
        </w:rPr>
        <w:t>.</w:t>
      </w:r>
    </w:p>
    <w:p w14:paraId="4D99FB6B" w14:textId="3EF7C6EA" w:rsidR="00E91D63" w:rsidRPr="00E91D63" w:rsidRDefault="0017094A" w:rsidP="004C4928">
      <w:pPr>
        <w:pStyle w:val="berschrift1"/>
        <w:rPr>
          <w:highlight w:val="cyan"/>
          <w:lang w:val="de-DE"/>
        </w:rPr>
      </w:pPr>
      <w:bookmarkStart w:id="35" w:name="_Toc187072924"/>
      <w:bookmarkEnd w:id="34"/>
      <w:r w:rsidRPr="00E24380">
        <w:rPr>
          <w:highlight w:val="cyan"/>
          <w:lang w:val="de-DE"/>
        </w:rPr>
        <w:t>1.1</w:t>
      </w:r>
      <w:r w:rsidR="00E82F9F">
        <w:rPr>
          <w:highlight w:val="cyan"/>
          <w:lang w:val="de-DE"/>
        </w:rPr>
        <w:t>9</w:t>
      </w:r>
      <w:r w:rsidRPr="00E24380">
        <w:rPr>
          <w:highlight w:val="cyan"/>
          <w:lang w:val="de-DE"/>
        </w:rPr>
        <w:t xml:space="preserve"> Vorbehalt nachträglicher Auflagen stärker nutzen (§ 12 Abs. 2a BImSchG)</w:t>
      </w:r>
      <w:bookmarkEnd w:id="35"/>
    </w:p>
    <w:p w14:paraId="274F1635" w14:textId="77777777" w:rsidR="00E91D63" w:rsidRPr="00E91D63" w:rsidRDefault="00E91D63" w:rsidP="00E91D63">
      <w:pPr>
        <w:spacing w:after="0"/>
        <w:jc w:val="left"/>
        <w:rPr>
          <w:highlight w:val="cyan"/>
          <w:lang w:val="de-DE" w:bidi="en-US"/>
        </w:rPr>
      </w:pPr>
      <w:r w:rsidRPr="00E91D63">
        <w:rPr>
          <w:highlight w:val="cyan"/>
          <w:lang w:val="de-DE" w:bidi="en-US"/>
        </w:rPr>
        <w:t>Das Instrument des Auflagenvorbehalts sollte stärker nutzbar sein, um Genehmigungsverfahren weiter zu beschleunigen.</w:t>
      </w:r>
    </w:p>
    <w:p w14:paraId="2013BD08" w14:textId="77777777" w:rsidR="00E91D63" w:rsidRPr="00E91D63" w:rsidRDefault="00E91D63" w:rsidP="00E91D63">
      <w:pPr>
        <w:spacing w:after="0"/>
        <w:jc w:val="left"/>
        <w:rPr>
          <w:highlight w:val="cyan"/>
          <w:lang w:val="de-DE" w:bidi="en-US"/>
        </w:rPr>
      </w:pPr>
    </w:p>
    <w:p w14:paraId="3047A437" w14:textId="77777777" w:rsidR="00E91D63" w:rsidRPr="00E91D63" w:rsidRDefault="00E91D63" w:rsidP="00E91D63">
      <w:pPr>
        <w:spacing w:after="0"/>
        <w:jc w:val="left"/>
        <w:rPr>
          <w:highlight w:val="cyan"/>
          <w:lang w:val="de-DE" w:bidi="en-US"/>
        </w:rPr>
      </w:pPr>
      <w:r w:rsidRPr="00E91D63">
        <w:rPr>
          <w:highlight w:val="cyan"/>
          <w:lang w:val="de-DE" w:bidi="en-US"/>
        </w:rPr>
        <w:t>Der bestehende § 12 Abs. 2a Satz 2 sollte daher wie folgt ergänzt werden:</w:t>
      </w:r>
    </w:p>
    <w:p w14:paraId="47739052" w14:textId="77777777" w:rsidR="00E91D63" w:rsidRPr="00E91D63" w:rsidRDefault="00E91D63" w:rsidP="00E91D63">
      <w:pPr>
        <w:spacing w:after="0"/>
        <w:jc w:val="left"/>
        <w:rPr>
          <w:highlight w:val="cyan"/>
          <w:lang w:val="de-DE" w:bidi="en-US"/>
        </w:rPr>
      </w:pPr>
    </w:p>
    <w:p w14:paraId="0A3CB0E3" w14:textId="26B6EC7F" w:rsidR="00E91D63" w:rsidRPr="00E91D63" w:rsidRDefault="00E91D63" w:rsidP="00E91D63">
      <w:pPr>
        <w:spacing w:after="0"/>
        <w:jc w:val="left"/>
        <w:rPr>
          <w:i/>
          <w:iCs/>
          <w:lang w:val="de-DE" w:bidi="en-US"/>
        </w:rPr>
      </w:pPr>
      <w:r w:rsidRPr="00E91D63">
        <w:rPr>
          <w:i/>
          <w:iCs/>
          <w:highlight w:val="cyan"/>
          <w:lang w:val="de-DE" w:bidi="en-US"/>
        </w:rPr>
        <w:t xml:space="preserve">„Dies gilt unter den Voraussetzungen des Satzes </w:t>
      </w:r>
      <w:r w:rsidR="00E24380" w:rsidRPr="00E24380">
        <w:rPr>
          <w:i/>
          <w:iCs/>
          <w:highlight w:val="cyan"/>
          <w:lang w:val="de-DE" w:bidi="en-US"/>
        </w:rPr>
        <w:t xml:space="preserve">1 </w:t>
      </w:r>
      <w:r w:rsidRPr="00E91D63">
        <w:rPr>
          <w:i/>
          <w:iCs/>
          <w:highlight w:val="cyan"/>
          <w:lang w:val="de-DE" w:bidi="en-US"/>
        </w:rPr>
        <w:t xml:space="preserve">auch für den Fall, dass eine beteiligte Behörde sich nicht rechtzeitig äußert </w:t>
      </w:r>
      <w:r w:rsidRPr="00E91D63">
        <w:rPr>
          <w:b/>
          <w:bCs/>
          <w:i/>
          <w:iCs/>
          <w:highlight w:val="cyan"/>
          <w:lang w:val="de-DE" w:bidi="en-US"/>
        </w:rPr>
        <w:t>oder bestimmte Unterlagen oder Angaben nach der Erteilung der Genehmigung nachzureichen sind.</w:t>
      </w:r>
      <w:r w:rsidRPr="00E91D63">
        <w:rPr>
          <w:i/>
          <w:iCs/>
          <w:highlight w:val="cyan"/>
          <w:lang w:val="de-DE" w:bidi="en-US"/>
        </w:rPr>
        <w:t>“</w:t>
      </w:r>
    </w:p>
    <w:p w14:paraId="57FA2CDA" w14:textId="7F8DC8A3" w:rsidR="00E91D63" w:rsidRPr="00E91D63" w:rsidRDefault="00127478" w:rsidP="00127478">
      <w:pPr>
        <w:pStyle w:val="berschrift1"/>
        <w:rPr>
          <w:highlight w:val="cyan"/>
          <w:lang w:val="de-DE"/>
        </w:rPr>
      </w:pPr>
      <w:bookmarkStart w:id="36" w:name="_Toc187072925"/>
      <w:r w:rsidRPr="002862CD">
        <w:rPr>
          <w:highlight w:val="cyan"/>
          <w:lang w:val="de-DE"/>
        </w:rPr>
        <w:lastRenderedPageBreak/>
        <w:t>1.</w:t>
      </w:r>
      <w:r w:rsidR="00E82F9F">
        <w:rPr>
          <w:highlight w:val="cyan"/>
          <w:lang w:val="de-DE"/>
        </w:rPr>
        <w:t>20</w:t>
      </w:r>
      <w:r w:rsidRPr="002862CD">
        <w:rPr>
          <w:highlight w:val="cyan"/>
          <w:lang w:val="de-DE"/>
        </w:rPr>
        <w:t xml:space="preserve"> Schadensersatzanspruch konkretisieren </w:t>
      </w:r>
      <w:r w:rsidR="002D492A">
        <w:rPr>
          <w:highlight w:val="cyan"/>
          <w:lang w:val="de-DE"/>
        </w:rPr>
        <w:t xml:space="preserve">und verschuldensabhängige Haftung verdeutlichen </w:t>
      </w:r>
      <w:r w:rsidRPr="002862CD">
        <w:rPr>
          <w:highlight w:val="cyan"/>
          <w:lang w:val="de-DE"/>
        </w:rPr>
        <w:t>(§ 14a neu BImSchG)</w:t>
      </w:r>
      <w:bookmarkEnd w:id="36"/>
    </w:p>
    <w:p w14:paraId="339793B1" w14:textId="3E47E59F" w:rsidR="00E91D63" w:rsidRPr="007D6FD4" w:rsidRDefault="00E91D63" w:rsidP="00E91D63">
      <w:pPr>
        <w:spacing w:after="0"/>
        <w:jc w:val="left"/>
        <w:rPr>
          <w:highlight w:val="cyan"/>
          <w:lang w:val="de-DE" w:bidi="en-US"/>
        </w:rPr>
      </w:pPr>
      <w:r w:rsidRPr="007D6FD4">
        <w:rPr>
          <w:highlight w:val="cyan"/>
          <w:lang w:val="de-DE" w:bidi="en-US"/>
        </w:rPr>
        <w:t xml:space="preserve">Der neue Schadensersatzanspruch in § 14a BImSchG für Verstöße gegen bestimmte Betreiberpflichten des § 5 ist zu unkonkret und sollte geändert werden. </w:t>
      </w:r>
      <w:r w:rsidR="007D6FD4" w:rsidRPr="007D6FD4">
        <w:rPr>
          <w:highlight w:val="cyan"/>
          <w:lang w:val="de-DE" w:bidi="en-US"/>
        </w:rPr>
        <w:t>Zudem sollte er nur bei schuldhaften Verstößen Anwendung finden.</w:t>
      </w:r>
    </w:p>
    <w:p w14:paraId="5909C7BD" w14:textId="77777777" w:rsidR="00E91D63" w:rsidRPr="00E91D63" w:rsidRDefault="00E91D63" w:rsidP="00E91D63">
      <w:pPr>
        <w:spacing w:after="0"/>
        <w:jc w:val="left"/>
        <w:rPr>
          <w:highlight w:val="cyan"/>
          <w:lang w:val="de-DE" w:bidi="en-US"/>
        </w:rPr>
      </w:pPr>
    </w:p>
    <w:p w14:paraId="674080B7" w14:textId="77777777" w:rsidR="00E91D63" w:rsidRPr="0023539D" w:rsidRDefault="00E91D63" w:rsidP="0023539D">
      <w:pPr>
        <w:pStyle w:val="Listenabsatz"/>
        <w:numPr>
          <w:ilvl w:val="0"/>
          <w:numId w:val="20"/>
        </w:numPr>
        <w:spacing w:after="0"/>
        <w:jc w:val="left"/>
        <w:rPr>
          <w:highlight w:val="cyan"/>
          <w:lang w:val="de-DE" w:bidi="en-US"/>
        </w:rPr>
      </w:pPr>
      <w:r w:rsidRPr="0023539D">
        <w:rPr>
          <w:highlight w:val="cyan"/>
          <w:lang w:val="de-DE" w:bidi="en-US"/>
        </w:rPr>
        <w:t xml:space="preserve">In § 14a neu BImSchG gilt als schadensverursachende Handlung ein Verstoß gegen bestimmte Betreiberpflichten des § 5, so zum Beispiel die Pflicht eine Anlage so zu errichten und zu betreiben, dass schädliche Umwelteinwirkungen nicht hervorgerufen werden können oder dass Vorsorge gegen schädliche Umwelteinwirkungen getroffen wird. Diese Pflichten sind jedoch unkonkret, so dass sie in der Praxis erst durch bestimmte rechtliche Instrumente vollziehbar gestaltet werden. </w:t>
      </w:r>
    </w:p>
    <w:p w14:paraId="3096CB44" w14:textId="77777777" w:rsidR="00E91D63" w:rsidRPr="00E91D63" w:rsidRDefault="00E91D63" w:rsidP="00E91D63">
      <w:pPr>
        <w:spacing w:after="0"/>
        <w:jc w:val="left"/>
        <w:rPr>
          <w:highlight w:val="cyan"/>
          <w:lang w:val="de-DE" w:bidi="en-US"/>
        </w:rPr>
      </w:pPr>
    </w:p>
    <w:p w14:paraId="2400C0ED" w14:textId="4BA0EE9F" w:rsidR="00E91D63" w:rsidRDefault="00E91D63" w:rsidP="0023539D">
      <w:pPr>
        <w:spacing w:after="0"/>
        <w:ind w:left="708" w:firstLine="12"/>
        <w:jc w:val="left"/>
        <w:rPr>
          <w:lang w:val="de-DE" w:bidi="en-US"/>
        </w:rPr>
      </w:pPr>
      <w:r w:rsidRPr="00E91D63">
        <w:rPr>
          <w:highlight w:val="cyan"/>
          <w:lang w:val="de-DE" w:bidi="en-US"/>
        </w:rPr>
        <w:t xml:space="preserve">Betreiberpflichten werden in der Systematik des BImSchG durch genehmigungsrechtliche Inhaltsbestimmungen, Nebenbestimmungen zu Genehmigungen, durch vollziehbare Anordnungen und durch in Rechtsverordnungen festgelegte, unmittelbar anwendbare Betreiberpflichten </w:t>
      </w:r>
      <w:r w:rsidRPr="00E91D63">
        <w:rPr>
          <w:b/>
          <w:bCs/>
          <w:highlight w:val="cyan"/>
          <w:lang w:val="de-DE" w:bidi="en-US"/>
        </w:rPr>
        <w:t>konkret festgelegt</w:t>
      </w:r>
      <w:r w:rsidRPr="00E91D63">
        <w:rPr>
          <w:highlight w:val="cyan"/>
          <w:lang w:val="de-DE" w:bidi="en-US"/>
        </w:rPr>
        <w:t xml:space="preserve">. Nur so existiert auch ein klarer, </w:t>
      </w:r>
      <w:r w:rsidRPr="00E91D63">
        <w:rPr>
          <w:b/>
          <w:bCs/>
          <w:highlight w:val="cyan"/>
          <w:lang w:val="de-DE" w:bidi="en-US"/>
        </w:rPr>
        <w:t>dokumentierter und nachvollziehbarer Pflichtenkatalog</w:t>
      </w:r>
      <w:r w:rsidRPr="00E91D63">
        <w:rPr>
          <w:highlight w:val="cyan"/>
          <w:lang w:val="de-DE" w:bidi="en-US"/>
        </w:rPr>
        <w:t>, bei dem ein Verstoß (als eine mögliche schadensverursachende Handlung) auch konkret auf einen kausal verursachten Gesundheitsschaden geprüft werden kann.</w:t>
      </w:r>
      <w:r w:rsidRPr="00E91D63">
        <w:rPr>
          <w:lang w:val="de-DE" w:bidi="en-US"/>
        </w:rPr>
        <w:t xml:space="preserve"> </w:t>
      </w:r>
    </w:p>
    <w:p w14:paraId="1DF0237F" w14:textId="77777777" w:rsidR="0023539D" w:rsidRDefault="0023539D" w:rsidP="0023539D">
      <w:pPr>
        <w:spacing w:after="0"/>
        <w:ind w:left="708" w:firstLine="12"/>
        <w:jc w:val="left"/>
        <w:rPr>
          <w:lang w:val="de-DE" w:bidi="en-US"/>
        </w:rPr>
      </w:pPr>
    </w:p>
    <w:p w14:paraId="7722CEB6" w14:textId="77777777" w:rsidR="00D05B87" w:rsidRPr="00D05B87" w:rsidRDefault="00D05B87" w:rsidP="00D05B87">
      <w:pPr>
        <w:pStyle w:val="Listenabsatz"/>
        <w:numPr>
          <w:ilvl w:val="0"/>
          <w:numId w:val="20"/>
        </w:numPr>
        <w:spacing w:after="0"/>
        <w:jc w:val="left"/>
        <w:rPr>
          <w:highlight w:val="cyan"/>
          <w:lang w:val="de-DE" w:bidi="en-US"/>
        </w:rPr>
      </w:pPr>
      <w:r w:rsidRPr="00D05B87">
        <w:rPr>
          <w:highlight w:val="cyan"/>
          <w:lang w:val="de-DE" w:bidi="en-US"/>
        </w:rPr>
        <w:t>Zudem sollte der Schadensersatzanspruch erst dann greifen, wenn ein schuldhaftes Verhalten des Betreibers vorliegt. Dabei sollte man sich an der Regelung des § 823 Abs. 2 Satz 2 BGB orientieren.</w:t>
      </w:r>
    </w:p>
    <w:p w14:paraId="40A2CAB6" w14:textId="77777777" w:rsidR="00D05B87" w:rsidRPr="00D05B87" w:rsidRDefault="00D05B87" w:rsidP="00D05B87">
      <w:pPr>
        <w:pStyle w:val="Listenabsatz"/>
        <w:numPr>
          <w:ilvl w:val="0"/>
          <w:numId w:val="0"/>
        </w:numPr>
        <w:spacing w:after="0"/>
        <w:ind w:left="720"/>
        <w:jc w:val="left"/>
        <w:rPr>
          <w:highlight w:val="cyan"/>
          <w:lang w:val="de-DE" w:bidi="en-US"/>
        </w:rPr>
      </w:pPr>
    </w:p>
    <w:p w14:paraId="0D611235" w14:textId="15EF2E62" w:rsidR="00D05B87" w:rsidRPr="00D05B87" w:rsidRDefault="00D05B87" w:rsidP="00D05B87">
      <w:pPr>
        <w:pStyle w:val="Listenabsatz"/>
        <w:numPr>
          <w:ilvl w:val="0"/>
          <w:numId w:val="0"/>
        </w:numPr>
        <w:spacing w:after="0"/>
        <w:ind w:left="720"/>
        <w:jc w:val="left"/>
        <w:rPr>
          <w:highlight w:val="cyan"/>
          <w:lang w:val="de-DE" w:bidi="en-US"/>
        </w:rPr>
      </w:pPr>
      <w:r w:rsidRPr="00D05B87">
        <w:rPr>
          <w:highlight w:val="cyan"/>
          <w:lang w:val="de-DE" w:bidi="en-US"/>
        </w:rPr>
        <w:t>Ein Verstoß gegen konkret festgelegte Betreiberpflichten wäre auch ohne ein Verschulden möglich. Der neue § 14a BImSchG Entwurf weist dabei Ähnlichkeiten auch mit § 823 Abs. 2 (Verstoß gegen ein Schutzgesetz) auf. Ein Anspruch nach § 823 Abs. 2 BGB i.</w:t>
      </w:r>
      <w:r w:rsidR="00F17867">
        <w:rPr>
          <w:highlight w:val="cyan"/>
          <w:lang w:val="de-DE" w:bidi="en-US"/>
        </w:rPr>
        <w:t xml:space="preserve"> </w:t>
      </w:r>
      <w:r w:rsidRPr="00D05B87">
        <w:rPr>
          <w:highlight w:val="cyan"/>
          <w:lang w:val="de-DE" w:bidi="en-US"/>
        </w:rPr>
        <w:t>V.</w:t>
      </w:r>
      <w:r w:rsidR="00F17867">
        <w:rPr>
          <w:highlight w:val="cyan"/>
          <w:lang w:val="de-DE" w:bidi="en-US"/>
        </w:rPr>
        <w:t xml:space="preserve"> </w:t>
      </w:r>
      <w:r w:rsidRPr="00D05B87">
        <w:rPr>
          <w:highlight w:val="cyan"/>
          <w:lang w:val="de-DE" w:bidi="en-US"/>
        </w:rPr>
        <w:t xml:space="preserve">m. § 5 BImSchG könnte grundsätzlich auch ohne Verschulden vorliegen. Deshalb regelt § 823 Abs. 2 S. 2 BGB entsprechend, dass ein Verschulden Voraussetzung für einen Schadensersatz ist. </w:t>
      </w:r>
    </w:p>
    <w:p w14:paraId="12C74060" w14:textId="77777777" w:rsidR="00D05B87" w:rsidRPr="00D05B87" w:rsidRDefault="00D05B87" w:rsidP="00D05B87">
      <w:pPr>
        <w:pStyle w:val="Listenabsatz"/>
        <w:numPr>
          <w:ilvl w:val="0"/>
          <w:numId w:val="0"/>
        </w:numPr>
        <w:spacing w:after="0"/>
        <w:ind w:left="720"/>
        <w:jc w:val="left"/>
        <w:rPr>
          <w:highlight w:val="cyan"/>
          <w:lang w:val="de-DE" w:bidi="en-US"/>
        </w:rPr>
      </w:pPr>
    </w:p>
    <w:p w14:paraId="600438EB" w14:textId="13D31DA7" w:rsidR="00D05B87" w:rsidRPr="00D05B87" w:rsidRDefault="00D05B87" w:rsidP="00D05B87">
      <w:pPr>
        <w:pStyle w:val="Listenabsatz"/>
        <w:numPr>
          <w:ilvl w:val="0"/>
          <w:numId w:val="0"/>
        </w:numPr>
        <w:spacing w:after="0"/>
        <w:ind w:left="720"/>
        <w:jc w:val="left"/>
        <w:rPr>
          <w:highlight w:val="cyan"/>
          <w:lang w:val="de-DE" w:bidi="en-US"/>
        </w:rPr>
      </w:pPr>
      <w:r w:rsidRPr="00D05B87">
        <w:rPr>
          <w:highlight w:val="cyan"/>
          <w:lang w:val="de-DE" w:bidi="en-US"/>
        </w:rPr>
        <w:t>Es sollte in § 14a Abs. 1 BImSchG klargestellt werden, dass es sich nicht um eine verschuldensunabhängige (Gefährdungs-) Haftung handelt. Hierzu sollte § 14a Abs. 1 BImSchG-E um folgenden (an § 823 Abs. 2 S. 2 BGB angelehnten) Satz 2 ergänzt werden:</w:t>
      </w:r>
    </w:p>
    <w:p w14:paraId="1D087C05" w14:textId="77777777" w:rsidR="00D05B87" w:rsidRPr="00D05B87" w:rsidRDefault="00D05B87" w:rsidP="00D05B87">
      <w:pPr>
        <w:pStyle w:val="Listenabsatz"/>
        <w:numPr>
          <w:ilvl w:val="0"/>
          <w:numId w:val="0"/>
        </w:numPr>
        <w:spacing w:after="0"/>
        <w:ind w:left="720"/>
        <w:jc w:val="left"/>
        <w:rPr>
          <w:highlight w:val="cyan"/>
          <w:lang w:val="de-DE" w:bidi="en-US"/>
        </w:rPr>
      </w:pPr>
    </w:p>
    <w:p w14:paraId="698A8DD3" w14:textId="77777777" w:rsidR="00D05B87" w:rsidRPr="009B5F5F" w:rsidRDefault="00D05B87" w:rsidP="00D05B87">
      <w:pPr>
        <w:pStyle w:val="Listenabsatz"/>
        <w:numPr>
          <w:ilvl w:val="0"/>
          <w:numId w:val="0"/>
        </w:numPr>
        <w:spacing w:after="0"/>
        <w:ind w:left="720"/>
        <w:jc w:val="left"/>
        <w:rPr>
          <w:i/>
          <w:iCs/>
          <w:highlight w:val="cyan"/>
          <w:lang w:val="de-DE" w:bidi="en-US"/>
        </w:rPr>
      </w:pPr>
      <w:r w:rsidRPr="009B5F5F">
        <w:rPr>
          <w:i/>
          <w:iCs/>
          <w:highlight w:val="cyan"/>
          <w:lang w:val="de-DE" w:bidi="en-US"/>
        </w:rPr>
        <w:t>„Ist ein solcher Verstoß auch ohne Verschulden möglich, so tritt die Ersatzpflicht nur im Falle des Verschuldens ein.“</w:t>
      </w:r>
    </w:p>
    <w:p w14:paraId="154205B4" w14:textId="77777777" w:rsidR="00D05B87" w:rsidRPr="00D05B87" w:rsidRDefault="00D05B87" w:rsidP="00D05B87">
      <w:pPr>
        <w:pStyle w:val="Listenabsatz"/>
        <w:numPr>
          <w:ilvl w:val="0"/>
          <w:numId w:val="0"/>
        </w:numPr>
        <w:spacing w:after="0"/>
        <w:ind w:left="720"/>
        <w:jc w:val="left"/>
        <w:rPr>
          <w:highlight w:val="cyan"/>
          <w:lang w:val="de-DE" w:bidi="en-US"/>
        </w:rPr>
      </w:pPr>
    </w:p>
    <w:p w14:paraId="036FD8D5" w14:textId="00FD6CC2" w:rsidR="00D05B87" w:rsidRPr="00D05B87" w:rsidRDefault="00D05B87" w:rsidP="00D05B87">
      <w:pPr>
        <w:pStyle w:val="Listenabsatz"/>
        <w:numPr>
          <w:ilvl w:val="0"/>
          <w:numId w:val="0"/>
        </w:numPr>
        <w:spacing w:after="0"/>
        <w:ind w:left="720"/>
        <w:jc w:val="left"/>
        <w:rPr>
          <w:highlight w:val="cyan"/>
          <w:lang w:val="de-DE" w:bidi="en-US"/>
        </w:rPr>
      </w:pPr>
      <w:r w:rsidRPr="00D05B87">
        <w:rPr>
          <w:highlight w:val="cyan"/>
          <w:lang w:val="de-DE" w:bidi="en-US"/>
        </w:rPr>
        <w:t xml:space="preserve">Die IED sieht ebenfalls ein Verschulden als Voraussetzung eines Schadensersatzanspruchs vor. In Art 79a Abs. 1 IED heißt es: </w:t>
      </w:r>
      <w:r w:rsidRPr="009B5F5F">
        <w:rPr>
          <w:i/>
          <w:iCs/>
          <w:highlight w:val="cyan"/>
          <w:lang w:val="de-DE" w:bidi="en-US"/>
        </w:rPr>
        <w:t>„…die betroffenen Personen das Recht haben, gegenüber den für den Verstoß verantwortlichen natürlichen und juristischen Personen…“</w:t>
      </w:r>
    </w:p>
    <w:p w14:paraId="04E5F37E" w14:textId="77777777" w:rsidR="00D05B87" w:rsidRPr="00D05B87" w:rsidRDefault="00D05B87" w:rsidP="00D05B87">
      <w:pPr>
        <w:pStyle w:val="Listenabsatz"/>
        <w:numPr>
          <w:ilvl w:val="0"/>
          <w:numId w:val="0"/>
        </w:numPr>
        <w:spacing w:after="0"/>
        <w:ind w:left="720"/>
        <w:jc w:val="left"/>
        <w:rPr>
          <w:highlight w:val="cyan"/>
          <w:lang w:val="de-DE" w:bidi="en-US"/>
        </w:rPr>
      </w:pPr>
    </w:p>
    <w:p w14:paraId="3B51D896" w14:textId="6DA29588" w:rsidR="00E91D63" w:rsidRPr="00E91D63" w:rsidRDefault="00D05B87" w:rsidP="00E82F9F">
      <w:pPr>
        <w:pStyle w:val="Listenabsatz"/>
        <w:numPr>
          <w:ilvl w:val="0"/>
          <w:numId w:val="0"/>
        </w:numPr>
        <w:spacing w:after="0"/>
        <w:ind w:left="720"/>
        <w:jc w:val="left"/>
        <w:rPr>
          <w:lang w:val="de-DE" w:bidi="en-US"/>
        </w:rPr>
      </w:pPr>
      <w:r w:rsidRPr="00D05B87">
        <w:rPr>
          <w:highlight w:val="cyan"/>
          <w:lang w:val="de-DE" w:bidi="en-US"/>
        </w:rPr>
        <w:t xml:space="preserve">Verantwortlich für einen Verstoß ist eine Person nur, wenn sie schuldhaft - also vorsätzlich oder fahrlässig - handelt. Der Begriff der Verantwortlichkeit umfasst mehr als die bloße Kausalität der Schadensverursachung, wie sie eine reine Gefährdungshaftung nur voraussetzt. </w:t>
      </w:r>
      <w:r w:rsidRPr="00D05B87">
        <w:rPr>
          <w:highlight w:val="cyan"/>
          <w:lang w:val="de-DE" w:bidi="en-US"/>
        </w:rPr>
        <w:lastRenderedPageBreak/>
        <w:t>Hätte die IED ausschließlich eine Gefährdungshaftung regeln wollen, so hätte sie dies deutlich als eine reine Kausalitätshaftung im Text ausgestalten müssen.</w:t>
      </w:r>
    </w:p>
    <w:p w14:paraId="7257CD97" w14:textId="2FFE54F8" w:rsidR="00477522" w:rsidRDefault="005A3FBD" w:rsidP="00477522">
      <w:pPr>
        <w:pStyle w:val="berschrift1"/>
        <w:rPr>
          <w:lang w:val="de-DE"/>
        </w:rPr>
      </w:pPr>
      <w:bookmarkStart w:id="37" w:name="_Toc187072926"/>
      <w:r>
        <w:rPr>
          <w:lang w:val="de-DE"/>
        </w:rPr>
        <w:t>1</w:t>
      </w:r>
      <w:r w:rsidR="00477522">
        <w:rPr>
          <w:lang w:val="de-DE"/>
        </w:rPr>
        <w:t>.</w:t>
      </w:r>
      <w:r w:rsidR="001532B5">
        <w:rPr>
          <w:lang w:val="de-DE"/>
        </w:rPr>
        <w:t>2</w:t>
      </w:r>
      <w:r w:rsidR="00E82F9F">
        <w:rPr>
          <w:lang w:val="de-DE"/>
        </w:rPr>
        <w:t>1</w:t>
      </w:r>
      <w:r w:rsidR="00477522" w:rsidRPr="00091C0D">
        <w:rPr>
          <w:lang w:val="de-DE"/>
        </w:rPr>
        <w:t xml:space="preserve"> </w:t>
      </w:r>
      <w:r w:rsidR="00FC75D2" w:rsidRPr="00FC75D2">
        <w:rPr>
          <w:lang w:val="de-DE"/>
        </w:rPr>
        <w:t>Regelungen zu Ausnahmen und Industrieller Transformation ergänzen</w:t>
      </w:r>
      <w:r w:rsidR="009A7359">
        <w:rPr>
          <w:lang w:val="de-DE"/>
        </w:rPr>
        <w:t xml:space="preserve"> </w:t>
      </w:r>
      <w:r w:rsidR="00E1625A">
        <w:rPr>
          <w:lang w:val="de-DE"/>
        </w:rPr>
        <w:br/>
      </w:r>
      <w:r w:rsidR="009A7359">
        <w:rPr>
          <w:lang w:val="de-DE"/>
        </w:rPr>
        <w:t>(§ 17 BImSchG)</w:t>
      </w:r>
      <w:bookmarkEnd w:id="37"/>
    </w:p>
    <w:p w14:paraId="737BC342" w14:textId="42C2AF63" w:rsidR="008D7BE2" w:rsidRPr="00FC75D2" w:rsidRDefault="009A7359" w:rsidP="008D7BE2">
      <w:pPr>
        <w:spacing w:after="160"/>
        <w:jc w:val="left"/>
        <w:rPr>
          <w:lang w:val="de-DE" w:bidi="en-US"/>
        </w:rPr>
      </w:pPr>
      <w:r>
        <w:rPr>
          <w:lang w:val="de-DE" w:bidi="en-US"/>
        </w:rPr>
        <w:t xml:space="preserve">Auch in § 17 BImSchG sollten, wie </w:t>
      </w:r>
      <w:r w:rsidR="008D7BE2" w:rsidRPr="00FC75D2">
        <w:rPr>
          <w:lang w:val="de-DE" w:bidi="en-US"/>
        </w:rPr>
        <w:t xml:space="preserve">oben zu § 7 näher ausgeführt, folgende Regelungen </w:t>
      </w:r>
      <w:r w:rsidR="008D7BE2">
        <w:rPr>
          <w:lang w:val="de-DE" w:bidi="en-US"/>
        </w:rPr>
        <w:t xml:space="preserve">zum Ausnahmekatalog </w:t>
      </w:r>
      <w:r w:rsidR="008D7BE2" w:rsidRPr="00FC75D2">
        <w:rPr>
          <w:lang w:val="de-DE" w:bidi="en-US"/>
        </w:rPr>
        <w:t>ergänzt werden</w:t>
      </w:r>
      <w:r w:rsidR="008D7BE2">
        <w:rPr>
          <w:lang w:val="de-DE" w:bidi="en-US"/>
        </w:rPr>
        <w:t>:</w:t>
      </w:r>
    </w:p>
    <w:p w14:paraId="6DFEBD46" w14:textId="77777777" w:rsidR="008D7BE2" w:rsidRDefault="008D7BE2" w:rsidP="00F03B6F">
      <w:pPr>
        <w:pStyle w:val="Listenabsatz"/>
        <w:numPr>
          <w:ilvl w:val="0"/>
          <w:numId w:val="9"/>
        </w:numPr>
        <w:spacing w:after="0"/>
        <w:ind w:left="1066" w:hanging="357"/>
        <w:jc w:val="left"/>
        <w:rPr>
          <w:lang w:val="de-DE" w:bidi="en-US"/>
        </w:rPr>
      </w:pPr>
      <w:r w:rsidRPr="007F03C0">
        <w:rPr>
          <w:lang w:val="de-DE" w:bidi="en-US"/>
        </w:rPr>
        <w:t>Ausnahmekatalog vervollständigen: Aufnahme des geografischen Standorts und der lokalen Umweltbedingungen</w:t>
      </w:r>
    </w:p>
    <w:p w14:paraId="60B021D6" w14:textId="77777777" w:rsidR="008D7BE2" w:rsidRDefault="008D7BE2" w:rsidP="00F03B6F">
      <w:pPr>
        <w:pStyle w:val="Listenabsatz"/>
        <w:numPr>
          <w:ilvl w:val="0"/>
          <w:numId w:val="9"/>
        </w:numPr>
        <w:spacing w:after="0"/>
        <w:ind w:left="1066" w:hanging="357"/>
        <w:jc w:val="left"/>
        <w:rPr>
          <w:lang w:val="de-DE" w:bidi="en-US"/>
        </w:rPr>
      </w:pPr>
      <w:r w:rsidRPr="000C12AA">
        <w:rPr>
          <w:lang w:val="de-DE" w:bidi="en-US"/>
        </w:rPr>
        <w:t>Aufwändiges europarechtliches Ausnahmeverfahren darf nicht für Festlegung von Grenzwerten innerhalb europäischer Bandbreiten gelten</w:t>
      </w:r>
    </w:p>
    <w:p w14:paraId="600EEEE0" w14:textId="77777777" w:rsidR="008D7BE2" w:rsidRDefault="008D7BE2" w:rsidP="00F03B6F">
      <w:pPr>
        <w:pStyle w:val="Listenabsatz"/>
        <w:numPr>
          <w:ilvl w:val="0"/>
          <w:numId w:val="9"/>
        </w:numPr>
        <w:spacing w:after="0"/>
        <w:ind w:left="1066" w:hanging="357"/>
        <w:jc w:val="left"/>
        <w:rPr>
          <w:lang w:val="de-DE" w:bidi="en-US"/>
        </w:rPr>
      </w:pPr>
      <w:r w:rsidRPr="00B73D14">
        <w:rPr>
          <w:lang w:val="de-DE" w:bidi="en-US"/>
        </w:rPr>
        <w:t>Ausnahmeregelung zum Krisenfall umsetzen</w:t>
      </w:r>
    </w:p>
    <w:p w14:paraId="00846D84" w14:textId="77777777" w:rsidR="00F06550" w:rsidRPr="00F06550" w:rsidRDefault="002F392A" w:rsidP="00F06550">
      <w:pPr>
        <w:pStyle w:val="Listenabsatz"/>
        <w:numPr>
          <w:ilvl w:val="0"/>
          <w:numId w:val="9"/>
        </w:numPr>
        <w:spacing w:after="0"/>
        <w:jc w:val="left"/>
        <w:rPr>
          <w:highlight w:val="cyan"/>
          <w:lang w:val="de-DE" w:bidi="en-US"/>
        </w:rPr>
      </w:pPr>
      <w:r>
        <w:rPr>
          <w:lang w:val="de-DE" w:bidi="en-US"/>
        </w:rPr>
        <w:t xml:space="preserve">Klarstellende </w:t>
      </w:r>
      <w:r w:rsidRPr="00B73D14">
        <w:rPr>
          <w:lang w:val="de-DE" w:bidi="en-US"/>
        </w:rPr>
        <w:t>Regelung</w:t>
      </w:r>
      <w:r>
        <w:rPr>
          <w:lang w:val="de-DE" w:bidi="en-US"/>
        </w:rPr>
        <w:t>en</w:t>
      </w:r>
      <w:r w:rsidRPr="00B73D14">
        <w:rPr>
          <w:lang w:val="de-DE" w:bidi="en-US"/>
        </w:rPr>
        <w:t xml:space="preserve"> zur tiefgreifenden industriellen Transformation</w:t>
      </w:r>
      <w:r>
        <w:rPr>
          <w:lang w:val="de-DE" w:bidi="en-US"/>
        </w:rPr>
        <w:t xml:space="preserve"> </w:t>
      </w:r>
      <w:r w:rsidR="00F06550" w:rsidRPr="00F06550">
        <w:rPr>
          <w:lang w:val="de-DE" w:bidi="en-US"/>
        </w:rPr>
        <w:t xml:space="preserve">(Frist, Anlagenstandort </w:t>
      </w:r>
      <w:r w:rsidR="00F06550" w:rsidRPr="00F06550">
        <w:rPr>
          <w:highlight w:val="cyan"/>
          <w:lang w:val="de-DE" w:bidi="en-US"/>
        </w:rPr>
        <w:t>und Soll-Vorschrift siehe oben)</w:t>
      </w:r>
    </w:p>
    <w:p w14:paraId="14861E17" w14:textId="46161232" w:rsidR="00FE2684" w:rsidRPr="00F06550" w:rsidRDefault="00F06550" w:rsidP="00F06550">
      <w:pPr>
        <w:pStyle w:val="Listenabsatz"/>
        <w:numPr>
          <w:ilvl w:val="0"/>
          <w:numId w:val="9"/>
        </w:numPr>
        <w:spacing w:after="0"/>
        <w:jc w:val="left"/>
        <w:rPr>
          <w:highlight w:val="cyan"/>
          <w:lang w:val="de-DE" w:bidi="en-US"/>
        </w:rPr>
      </w:pPr>
      <w:r w:rsidRPr="00F06550">
        <w:rPr>
          <w:highlight w:val="cyan"/>
          <w:lang w:val="de-DE" w:bidi="en-US"/>
        </w:rPr>
        <w:t>Ausnahmevorschrift Zukunftstechniken als Soll-Vorschrift etablieren.</w:t>
      </w:r>
    </w:p>
    <w:p w14:paraId="7CAC4A75" w14:textId="07F1C875" w:rsidR="00FE2684" w:rsidRDefault="005A3FBD" w:rsidP="00FE2684">
      <w:pPr>
        <w:pStyle w:val="berschrift1"/>
        <w:rPr>
          <w:lang w:val="de-DE"/>
        </w:rPr>
      </w:pPr>
      <w:bookmarkStart w:id="38" w:name="_Toc187072927"/>
      <w:r>
        <w:rPr>
          <w:lang w:val="de-DE"/>
        </w:rPr>
        <w:t>1.</w:t>
      </w:r>
      <w:r w:rsidR="00B47518">
        <w:rPr>
          <w:lang w:val="de-DE"/>
        </w:rPr>
        <w:t>2</w:t>
      </w:r>
      <w:r w:rsidR="00E82F9F">
        <w:rPr>
          <w:lang w:val="de-DE"/>
        </w:rPr>
        <w:t>2</w:t>
      </w:r>
      <w:r w:rsidR="00FE2684" w:rsidRPr="00091C0D">
        <w:rPr>
          <w:lang w:val="de-DE"/>
        </w:rPr>
        <w:t xml:space="preserve"> </w:t>
      </w:r>
      <w:r w:rsidR="00F115A5">
        <w:rPr>
          <w:lang w:val="de-DE"/>
        </w:rPr>
        <w:t xml:space="preserve">Emissionserklärung ersatzlos streichen </w:t>
      </w:r>
      <w:r w:rsidR="00FE2684">
        <w:rPr>
          <w:lang w:val="de-DE"/>
        </w:rPr>
        <w:t>(</w:t>
      </w:r>
      <w:r w:rsidR="00FE2684" w:rsidRPr="009C6611">
        <w:rPr>
          <w:lang w:val="de-DE"/>
        </w:rPr>
        <w:t xml:space="preserve">§ </w:t>
      </w:r>
      <w:r w:rsidR="00F115A5">
        <w:rPr>
          <w:lang w:val="de-DE"/>
        </w:rPr>
        <w:t>27</w:t>
      </w:r>
      <w:r w:rsidR="00FE2684" w:rsidRPr="009C6611">
        <w:rPr>
          <w:lang w:val="de-DE"/>
        </w:rPr>
        <w:t xml:space="preserve"> BImSchG</w:t>
      </w:r>
      <w:r w:rsidR="00FE2684">
        <w:rPr>
          <w:lang w:val="de-DE"/>
        </w:rPr>
        <w:t>)</w:t>
      </w:r>
      <w:bookmarkEnd w:id="38"/>
    </w:p>
    <w:p w14:paraId="5388B80A" w14:textId="616FCD98" w:rsidR="00FE2684" w:rsidRDefault="00F115A5" w:rsidP="00FE2684">
      <w:pPr>
        <w:rPr>
          <w:lang w:val="de-DE"/>
        </w:rPr>
      </w:pPr>
      <w:r>
        <w:rPr>
          <w:lang w:val="de-DE"/>
        </w:rPr>
        <w:t xml:space="preserve">§ 27 BImSchG und die </w:t>
      </w:r>
      <w:r w:rsidR="00FE2684">
        <w:rPr>
          <w:lang w:val="de-DE"/>
        </w:rPr>
        <w:t xml:space="preserve">Verordnung über Emissionserklärungen (11. BImSchV) sollten ersatzlos gestrichen werden. Dies wäre ein wesentlicher Beitrag zur Verringerung von Berichtspflichten für die deutsche Industrie. </w:t>
      </w:r>
    </w:p>
    <w:p w14:paraId="4EA32BAC" w14:textId="6724D23F" w:rsidR="00FE2684" w:rsidRPr="00FE2684" w:rsidRDefault="00FE2684" w:rsidP="005A3FBD">
      <w:pPr>
        <w:rPr>
          <w:lang w:val="de-DE"/>
        </w:rPr>
      </w:pPr>
      <w:r>
        <w:rPr>
          <w:lang w:val="de-DE"/>
        </w:rPr>
        <w:t xml:space="preserve">Die Verordnung </w:t>
      </w:r>
      <w:r w:rsidRPr="004F3D2C">
        <w:rPr>
          <w:lang w:val="de-DE"/>
        </w:rPr>
        <w:t>(EU) 2024/1244 vom 24. April 2024</w:t>
      </w:r>
      <w:r>
        <w:rPr>
          <w:lang w:val="de-DE"/>
        </w:rPr>
        <w:t xml:space="preserve"> </w:t>
      </w:r>
      <w:r w:rsidRPr="004F3D2C">
        <w:rPr>
          <w:lang w:val="de-DE"/>
        </w:rPr>
        <w:t>über die Berichterstattung über Umweltdaten von Industrieanlagen, zur Einrichtung eines Industrieemissionsportals</w:t>
      </w:r>
      <w:r>
        <w:rPr>
          <w:lang w:val="de-DE"/>
        </w:rPr>
        <w:t xml:space="preserve"> regelt, dass </w:t>
      </w:r>
      <w:r w:rsidRPr="00FD3152">
        <w:rPr>
          <w:lang w:val="de-DE"/>
        </w:rPr>
        <w:t xml:space="preserve">Umweltdaten über Industrieanlagen </w:t>
      </w:r>
      <w:r>
        <w:rPr>
          <w:lang w:val="de-DE"/>
        </w:rPr>
        <w:t>erhoben und gemeldet werden müssen. Zudem wird auf Unionsebene</w:t>
      </w:r>
      <w:r w:rsidRPr="00FD3152">
        <w:rPr>
          <w:lang w:val="de-DE"/>
        </w:rPr>
        <w:t xml:space="preserve"> ein Industrieemissionsportal eingerichtet, das der Öffentlichkeit den Zugang zu diesen Daten ermöglicht</w:t>
      </w:r>
      <w:r>
        <w:rPr>
          <w:lang w:val="de-DE"/>
        </w:rPr>
        <w:t xml:space="preserve">. Mit dieser Verordnung sind der Sinn und Zweck der 11. BImSchV </w:t>
      </w:r>
      <w:r w:rsidR="00AD7EA1">
        <w:rPr>
          <w:lang w:val="de-DE"/>
        </w:rPr>
        <w:t xml:space="preserve">und des § 27 BImSchG </w:t>
      </w:r>
      <w:r>
        <w:rPr>
          <w:lang w:val="de-DE"/>
        </w:rPr>
        <w:t xml:space="preserve">entfallen und die Erhebung und Meldung von Daten anderweitig geregelt. Der 11. BImSchV </w:t>
      </w:r>
      <w:r w:rsidR="00AD7EA1">
        <w:rPr>
          <w:lang w:val="de-DE"/>
        </w:rPr>
        <w:t xml:space="preserve">und § 27 BImSchG </w:t>
      </w:r>
      <w:r>
        <w:rPr>
          <w:lang w:val="de-DE"/>
        </w:rPr>
        <w:t xml:space="preserve">bedarf es daher nicht mehr. Bei Beibehaltung </w:t>
      </w:r>
      <w:r w:rsidR="00AD7EA1">
        <w:rPr>
          <w:lang w:val="de-DE"/>
        </w:rPr>
        <w:t>dieser Regelungen</w:t>
      </w:r>
      <w:r>
        <w:rPr>
          <w:lang w:val="de-DE"/>
        </w:rPr>
        <w:t xml:space="preserve"> würden Doppelreglungen und zusätzliche, nun aber entbehrliche Berichtspflichten bestehen bleiben.</w:t>
      </w:r>
    </w:p>
    <w:p w14:paraId="59028512" w14:textId="6645D32D" w:rsidR="00477522" w:rsidRDefault="005A3FBD" w:rsidP="00477522">
      <w:pPr>
        <w:pStyle w:val="berschrift1"/>
        <w:rPr>
          <w:lang w:val="de-DE"/>
        </w:rPr>
      </w:pPr>
      <w:bookmarkStart w:id="39" w:name="_Toc187072928"/>
      <w:r>
        <w:rPr>
          <w:lang w:val="de-DE"/>
        </w:rPr>
        <w:t>1</w:t>
      </w:r>
      <w:r w:rsidR="00477522">
        <w:rPr>
          <w:lang w:val="de-DE"/>
        </w:rPr>
        <w:t>.</w:t>
      </w:r>
      <w:r w:rsidR="00B47518">
        <w:rPr>
          <w:lang w:val="de-DE"/>
        </w:rPr>
        <w:t>2</w:t>
      </w:r>
      <w:r w:rsidR="00E82F9F">
        <w:rPr>
          <w:lang w:val="de-DE"/>
        </w:rPr>
        <w:t>3</w:t>
      </w:r>
      <w:r w:rsidR="00477522" w:rsidRPr="00091C0D">
        <w:rPr>
          <w:lang w:val="de-DE"/>
        </w:rPr>
        <w:t xml:space="preserve"> </w:t>
      </w:r>
      <w:r w:rsidR="009C6611" w:rsidRPr="009C6611">
        <w:rPr>
          <w:lang w:val="de-DE"/>
        </w:rPr>
        <w:t xml:space="preserve">Aktive Veröffentlichung von Ergebnissen der Emissionsüberwachung unbürokratisch und in Übereinstimmung mit der IED ausgestalten </w:t>
      </w:r>
      <w:r w:rsidR="00990746">
        <w:rPr>
          <w:lang w:val="de-DE"/>
        </w:rPr>
        <w:t>(</w:t>
      </w:r>
      <w:r w:rsidR="00990746" w:rsidRPr="009C6611">
        <w:rPr>
          <w:lang w:val="de-DE"/>
        </w:rPr>
        <w:t>§ 31 Abs. 5 BImSchG</w:t>
      </w:r>
      <w:r w:rsidR="00990746">
        <w:rPr>
          <w:lang w:val="de-DE"/>
        </w:rPr>
        <w:t>)</w:t>
      </w:r>
      <w:bookmarkEnd w:id="39"/>
    </w:p>
    <w:p w14:paraId="32F8B1A8" w14:textId="77777777" w:rsidR="00EA7814" w:rsidRDefault="00B24A90" w:rsidP="00B24A90">
      <w:pPr>
        <w:spacing w:after="160"/>
        <w:jc w:val="left"/>
        <w:rPr>
          <w:lang w:val="de-DE" w:bidi="en-US"/>
        </w:rPr>
      </w:pPr>
      <w:r w:rsidRPr="00B24A90">
        <w:rPr>
          <w:lang w:val="de-DE" w:bidi="en-US"/>
        </w:rPr>
        <w:t>Der neu gefasste § 31 Abs. 5 Satz 3 BImSchG</w:t>
      </w:r>
      <w:r w:rsidR="007C71F6">
        <w:rPr>
          <w:lang w:val="de-DE" w:bidi="en-US"/>
        </w:rPr>
        <w:t xml:space="preserve"> sollte erheblich überarbeitet werden. </w:t>
      </w:r>
      <w:r w:rsidR="00F71A15">
        <w:rPr>
          <w:lang w:val="de-DE" w:bidi="en-US"/>
        </w:rPr>
        <w:t xml:space="preserve">Die aktive Veröffentlichung von Ergebnissen der Emissionsüberwachung sollte möglichst unbürokratisch und in Übereinstimmung mit der IED ausgestaltet werden. </w:t>
      </w:r>
    </w:p>
    <w:p w14:paraId="4F40D581" w14:textId="1C4B6B7F" w:rsidR="00B24A90" w:rsidRPr="00B24A90" w:rsidRDefault="00EA7814" w:rsidP="00B24A90">
      <w:pPr>
        <w:spacing w:after="160"/>
        <w:jc w:val="left"/>
        <w:rPr>
          <w:lang w:val="de-DE" w:bidi="en-US"/>
        </w:rPr>
      </w:pPr>
      <w:r w:rsidRPr="00B24A90">
        <w:rPr>
          <w:lang w:val="de-DE" w:bidi="en-US"/>
        </w:rPr>
        <w:t>§ 31 Abs. 5 Satz 3 BImSchG</w:t>
      </w:r>
      <w:r w:rsidR="00B24A90" w:rsidRPr="00B24A90">
        <w:rPr>
          <w:lang w:val="de-DE" w:bidi="en-US"/>
        </w:rPr>
        <w:t xml:space="preserve"> regelt, dass die Ergebnisse der Überwachung der Emissionen, die bei der Behörde vorliegen, im Internet öffentlich bekannt zu machen sind.</w:t>
      </w:r>
      <w:r>
        <w:rPr>
          <w:lang w:val="de-DE" w:bidi="en-US"/>
        </w:rPr>
        <w:t xml:space="preserve"> </w:t>
      </w:r>
      <w:r w:rsidR="00B24A90" w:rsidRPr="00B24A90">
        <w:rPr>
          <w:lang w:val="de-DE" w:bidi="en-US"/>
        </w:rPr>
        <w:t>Diese Regelung ist unklar, bürokratisch und entspricht keiner 1:1 Umsetzung der IED.</w:t>
      </w:r>
    </w:p>
    <w:p w14:paraId="054BA4D6" w14:textId="77777777" w:rsidR="00B24A90" w:rsidRPr="00B24A90" w:rsidRDefault="00B24A90" w:rsidP="00B24A90">
      <w:pPr>
        <w:spacing w:after="160"/>
        <w:jc w:val="left"/>
        <w:rPr>
          <w:lang w:val="de-DE" w:bidi="en-US"/>
        </w:rPr>
      </w:pPr>
      <w:r w:rsidRPr="00B24A90">
        <w:rPr>
          <w:lang w:val="de-DE" w:bidi="en-US"/>
        </w:rPr>
        <w:t>Sie sollte erheblich überarbeitet werden.</w:t>
      </w:r>
    </w:p>
    <w:p w14:paraId="41FF5998" w14:textId="77777777" w:rsidR="00B24A90" w:rsidRPr="00B24A90" w:rsidRDefault="00B24A90" w:rsidP="00B24A90">
      <w:pPr>
        <w:spacing w:after="160"/>
        <w:jc w:val="left"/>
        <w:rPr>
          <w:lang w:val="de-DE" w:bidi="en-US"/>
        </w:rPr>
      </w:pPr>
      <w:r w:rsidRPr="00B24A90">
        <w:rPr>
          <w:lang w:val="de-DE" w:bidi="en-US"/>
        </w:rPr>
        <w:t>Art. 24 Abs. 3 Buchst. b) der IED lautet:</w:t>
      </w:r>
    </w:p>
    <w:p w14:paraId="7C58034B" w14:textId="492BEA32" w:rsidR="00B24A90" w:rsidRPr="00886645" w:rsidRDefault="00B24A90" w:rsidP="003F47E9">
      <w:pPr>
        <w:spacing w:after="160"/>
        <w:ind w:firstLine="708"/>
        <w:jc w:val="left"/>
        <w:rPr>
          <w:i/>
          <w:iCs/>
          <w:lang w:val="de-DE" w:bidi="en-US"/>
        </w:rPr>
      </w:pPr>
      <w:r w:rsidRPr="00886645">
        <w:rPr>
          <w:i/>
          <w:iCs/>
          <w:lang w:val="de-DE" w:bidi="en-US"/>
        </w:rPr>
        <w:lastRenderedPageBreak/>
        <w:t>„Die zuständige Behörde macht der Öffentlichkeit</w:t>
      </w:r>
      <w:r w:rsidR="00886645">
        <w:rPr>
          <w:i/>
          <w:iCs/>
          <w:lang w:val="de-DE" w:bidi="en-US"/>
        </w:rPr>
        <w:t xml:space="preserve"> [</w:t>
      </w:r>
      <w:r w:rsidRPr="00886645">
        <w:rPr>
          <w:i/>
          <w:iCs/>
          <w:lang w:val="de-DE" w:bidi="en-US"/>
        </w:rPr>
        <w:t>…</w:t>
      </w:r>
      <w:r w:rsidR="00886645">
        <w:rPr>
          <w:i/>
          <w:iCs/>
          <w:lang w:val="de-DE" w:bidi="en-US"/>
        </w:rPr>
        <w:t xml:space="preserve">] </w:t>
      </w:r>
      <w:r w:rsidRPr="00886645">
        <w:rPr>
          <w:i/>
          <w:iCs/>
          <w:lang w:val="de-DE" w:bidi="en-US"/>
        </w:rPr>
        <w:t>zugänglich</w:t>
      </w:r>
      <w:r w:rsidR="00886645">
        <w:rPr>
          <w:i/>
          <w:iCs/>
          <w:lang w:val="de-DE" w:bidi="en-US"/>
        </w:rPr>
        <w:t xml:space="preserve"> […]</w:t>
      </w:r>
    </w:p>
    <w:p w14:paraId="195D3410" w14:textId="43534A6C" w:rsidR="003F47E9" w:rsidRPr="003F47E9" w:rsidRDefault="00B24A90" w:rsidP="003F47E9">
      <w:pPr>
        <w:spacing w:after="160"/>
        <w:ind w:left="708"/>
        <w:jc w:val="left"/>
        <w:rPr>
          <w:i/>
          <w:iCs/>
          <w:lang w:val="de-DE" w:bidi="en-US"/>
        </w:rPr>
      </w:pPr>
      <w:r w:rsidRPr="00886645">
        <w:rPr>
          <w:i/>
          <w:iCs/>
          <w:lang w:val="de-DE" w:bidi="en-US"/>
        </w:rPr>
        <w:t>b)</w:t>
      </w:r>
      <w:r w:rsidR="009A4D2C">
        <w:rPr>
          <w:i/>
          <w:iCs/>
          <w:lang w:val="de-DE" w:bidi="en-US"/>
        </w:rPr>
        <w:t xml:space="preserve"> </w:t>
      </w:r>
      <w:r w:rsidRPr="00886645">
        <w:rPr>
          <w:i/>
          <w:iCs/>
          <w:lang w:val="de-DE" w:bidi="en-US"/>
        </w:rPr>
        <w:t>die Ergebnisse der entsprechend den Genehmigungsauflagen erforderlichen Überwachung der Emissionen, die bei der zuständigen Behörde vorliegen;“</w:t>
      </w:r>
    </w:p>
    <w:p w14:paraId="05779169" w14:textId="67DAE1A6" w:rsidR="00727CF3" w:rsidRPr="003B037E" w:rsidRDefault="00E00F68" w:rsidP="003B037E">
      <w:pPr>
        <w:spacing w:after="160"/>
        <w:jc w:val="left"/>
        <w:rPr>
          <w:lang w:val="de-DE" w:bidi="en-US"/>
        </w:rPr>
      </w:pPr>
      <w:r w:rsidRPr="003F47E9">
        <w:rPr>
          <w:lang w:val="de-DE" w:bidi="en-US"/>
        </w:rPr>
        <w:t>D</w:t>
      </w:r>
      <w:r w:rsidR="00727CF3" w:rsidRPr="003F47E9">
        <w:rPr>
          <w:lang w:val="de-DE" w:bidi="en-US"/>
        </w:rPr>
        <w:t xml:space="preserve">ie Regelung </w:t>
      </w:r>
      <w:r w:rsidR="003F47E9">
        <w:rPr>
          <w:lang w:val="de-DE" w:bidi="en-US"/>
        </w:rPr>
        <w:t xml:space="preserve">in § 31 BImSchG </w:t>
      </w:r>
      <w:r w:rsidRPr="003F47E9">
        <w:rPr>
          <w:lang w:val="de-DE" w:bidi="en-US"/>
        </w:rPr>
        <w:t>sollte</w:t>
      </w:r>
      <w:r w:rsidR="0043495D" w:rsidRPr="003F47E9">
        <w:rPr>
          <w:lang w:val="de-DE" w:bidi="en-US"/>
        </w:rPr>
        <w:t xml:space="preserve"> </w:t>
      </w:r>
      <w:r w:rsidR="00727CF3" w:rsidRPr="003F47E9">
        <w:rPr>
          <w:lang w:val="de-DE" w:bidi="en-US"/>
        </w:rPr>
        <w:t xml:space="preserve">auf das europarechtlich geforderte </w:t>
      </w:r>
      <w:r w:rsidR="00727CF3" w:rsidRPr="003F47E9">
        <w:rPr>
          <w:b/>
          <w:bCs/>
          <w:lang w:val="de-DE" w:bidi="en-US"/>
        </w:rPr>
        <w:t>Mindestmaß</w:t>
      </w:r>
      <w:r w:rsidR="00727CF3" w:rsidRPr="003F47E9">
        <w:rPr>
          <w:lang w:val="de-DE" w:bidi="en-US"/>
        </w:rPr>
        <w:t xml:space="preserve"> zurückgeführt</w:t>
      </w:r>
      <w:r w:rsidR="004D7450" w:rsidRPr="003F47E9">
        <w:rPr>
          <w:lang w:val="de-DE" w:bidi="en-US"/>
        </w:rPr>
        <w:t xml:space="preserve"> werden</w:t>
      </w:r>
      <w:r w:rsidR="00727CF3" w:rsidRPr="003F47E9">
        <w:rPr>
          <w:lang w:val="de-DE" w:bidi="en-US"/>
        </w:rPr>
        <w:t xml:space="preserve">. Für die Information der breiten Öffentlichkeit über das Internet reicht es aus, wenn das </w:t>
      </w:r>
      <w:r w:rsidR="00727CF3" w:rsidRPr="003F47E9">
        <w:rPr>
          <w:b/>
          <w:bCs/>
          <w:lang w:val="de-DE" w:bidi="en-US"/>
        </w:rPr>
        <w:t xml:space="preserve">Ergebnis </w:t>
      </w:r>
      <w:r w:rsidR="00727CF3" w:rsidRPr="003F47E9">
        <w:rPr>
          <w:lang w:val="de-DE" w:bidi="en-US"/>
        </w:rPr>
        <w:t xml:space="preserve">der Überwachung, </w:t>
      </w:r>
      <w:r w:rsidR="00727CF3" w:rsidRPr="003F47E9">
        <w:rPr>
          <w:b/>
          <w:bCs/>
          <w:lang w:val="de-DE" w:bidi="en-US"/>
        </w:rPr>
        <w:t>in einer aggregierten Form, nicht aber alle technischen Rahmenbedingungen der einzelnen Messungen</w:t>
      </w:r>
      <w:r w:rsidR="00727CF3" w:rsidRPr="003F47E9">
        <w:rPr>
          <w:lang w:val="de-DE" w:bidi="en-US"/>
        </w:rPr>
        <w:t xml:space="preserve"> (also keine Messberichte oder vollständig Übermittlungsprotokolle der telemetrischen Daten) veröffentlicht werden. </w:t>
      </w:r>
      <w:r w:rsidR="00727CF3" w:rsidRPr="003B037E">
        <w:rPr>
          <w:lang w:val="de-DE" w:bidi="en-US"/>
        </w:rPr>
        <w:t>Sollten Interessierte Dritte auch Zugang zu den technischen Rahmenbedingungen begehren, können sie diesen nach den Regeln des UIG erhalten.</w:t>
      </w:r>
    </w:p>
    <w:p w14:paraId="055E5B78" w14:textId="77777777" w:rsidR="003B037E" w:rsidRDefault="00AC7ADB" w:rsidP="003B037E">
      <w:pPr>
        <w:spacing w:after="160"/>
        <w:jc w:val="left"/>
        <w:rPr>
          <w:lang w:val="de-DE" w:bidi="en-US"/>
        </w:rPr>
      </w:pPr>
      <w:r w:rsidRPr="003B037E">
        <w:rPr>
          <w:lang w:val="de-DE" w:bidi="en-US"/>
        </w:rPr>
        <w:t xml:space="preserve">Eine entsprechende Klarstellung der Regelung ist wichtig, weil </w:t>
      </w:r>
      <w:r w:rsidR="00B24A90" w:rsidRPr="003B037E">
        <w:rPr>
          <w:lang w:val="de-DE" w:bidi="en-US"/>
        </w:rPr>
        <w:t xml:space="preserve">die Regelung </w:t>
      </w:r>
      <w:r w:rsidRPr="003B037E">
        <w:rPr>
          <w:lang w:val="de-DE" w:bidi="en-US"/>
        </w:rPr>
        <w:t xml:space="preserve">ansonsten </w:t>
      </w:r>
      <w:r w:rsidR="00B24A90" w:rsidRPr="003B037E">
        <w:rPr>
          <w:lang w:val="de-DE" w:bidi="en-US"/>
        </w:rPr>
        <w:t>erhebliche Zweifelsfragen auf</w:t>
      </w:r>
      <w:r w:rsidRPr="003B037E">
        <w:rPr>
          <w:lang w:val="de-DE" w:bidi="en-US"/>
        </w:rPr>
        <w:t>wirft</w:t>
      </w:r>
      <w:r w:rsidR="00B24A90" w:rsidRPr="003B037E">
        <w:rPr>
          <w:lang w:val="de-DE" w:bidi="en-US"/>
        </w:rPr>
        <w:t xml:space="preserve">, </w:t>
      </w:r>
      <w:r w:rsidRPr="003B037E">
        <w:rPr>
          <w:lang w:val="de-DE" w:bidi="en-US"/>
        </w:rPr>
        <w:t>da</w:t>
      </w:r>
      <w:r w:rsidR="00B24A90" w:rsidRPr="003B037E">
        <w:rPr>
          <w:lang w:val="de-DE" w:bidi="en-US"/>
        </w:rPr>
        <w:t xml:space="preserve"> nicht klar ist, welche Daten in welchem Umfang eigentlich im Internet veröffentlicht werden sollen und wie diese geschützt werden. </w:t>
      </w:r>
    </w:p>
    <w:p w14:paraId="6C9F09C8" w14:textId="0C28695A" w:rsidR="00B24A90" w:rsidRPr="00B24A90" w:rsidRDefault="000D0D1F" w:rsidP="003B037E">
      <w:pPr>
        <w:spacing w:after="160"/>
        <w:jc w:val="left"/>
        <w:rPr>
          <w:lang w:val="de-DE" w:bidi="en-US"/>
        </w:rPr>
      </w:pPr>
      <w:r>
        <w:rPr>
          <w:lang w:val="de-DE" w:bidi="en-US"/>
        </w:rPr>
        <w:t xml:space="preserve">Denn </w:t>
      </w:r>
      <w:r w:rsidR="00B24A90" w:rsidRPr="00B24A90">
        <w:rPr>
          <w:lang w:val="de-DE" w:bidi="en-US"/>
        </w:rPr>
        <w:t>Messergebnisse können in sehr unterschiedlichen Formen bei den Behörden vorliegen</w:t>
      </w:r>
      <w:r w:rsidR="00E21007">
        <w:rPr>
          <w:lang w:val="de-DE" w:bidi="en-US"/>
        </w:rPr>
        <w:t>:</w:t>
      </w:r>
    </w:p>
    <w:p w14:paraId="2C47268F" w14:textId="1AF1E540" w:rsidR="00B24A90" w:rsidRPr="00004DA4" w:rsidRDefault="00B24A90" w:rsidP="00004DA4">
      <w:pPr>
        <w:pStyle w:val="Listenabsatz"/>
        <w:numPr>
          <w:ilvl w:val="0"/>
          <w:numId w:val="9"/>
        </w:numPr>
        <w:spacing w:after="160"/>
        <w:jc w:val="left"/>
        <w:rPr>
          <w:lang w:val="de-DE" w:bidi="en-US"/>
        </w:rPr>
      </w:pPr>
      <w:r w:rsidRPr="00004DA4">
        <w:rPr>
          <w:lang w:val="de-DE" w:bidi="en-US"/>
        </w:rPr>
        <w:t xml:space="preserve">Die Messergebnisse von diskontinuierlichen Messungen liegen als Messberichte in Papierform oder als </w:t>
      </w:r>
      <w:proofErr w:type="spellStart"/>
      <w:r w:rsidRPr="00004DA4">
        <w:rPr>
          <w:lang w:val="de-DE" w:bidi="en-US"/>
        </w:rPr>
        <w:t>pdf</w:t>
      </w:r>
      <w:proofErr w:type="spellEnd"/>
      <w:r w:rsidRPr="00004DA4">
        <w:rPr>
          <w:lang w:val="de-DE" w:bidi="en-US"/>
        </w:rPr>
        <w:t xml:space="preserve">-Dateien bei der Behörde vor. Diese Messberichte können sehr umfangreich sein und enthalten Betriebs- und Geschäftsgeheimnisse der Betreiber (zum Inhalt von Messberichten vgl. etwa Ziffer 5.3.2.4 </w:t>
      </w:r>
      <w:proofErr w:type="gramStart"/>
      <w:r w:rsidRPr="00004DA4">
        <w:rPr>
          <w:lang w:val="de-DE" w:bidi="en-US"/>
        </w:rPr>
        <w:t>TA Luft</w:t>
      </w:r>
      <w:proofErr w:type="gramEnd"/>
      <w:r w:rsidRPr="00004DA4">
        <w:rPr>
          <w:lang w:val="de-DE" w:bidi="en-US"/>
        </w:rPr>
        <w:t>). Dies können zum Beispiel Angaben über die Betriebszeiten und Betriebszustände der Anlage</w:t>
      </w:r>
      <w:r w:rsidR="00DA574D" w:rsidRPr="00004DA4">
        <w:rPr>
          <w:lang w:val="de-DE" w:bidi="en-US"/>
        </w:rPr>
        <w:t xml:space="preserve"> sein</w:t>
      </w:r>
      <w:r w:rsidRPr="00004DA4">
        <w:rPr>
          <w:lang w:val="de-DE" w:bidi="en-US"/>
        </w:rPr>
        <w:t xml:space="preserve">, über gefahrene Betriebsparameter, über Produktionsprogramme, Brenn- und Einsatzstoffe </w:t>
      </w:r>
      <w:proofErr w:type="gramStart"/>
      <w:r w:rsidRPr="00004DA4">
        <w:rPr>
          <w:lang w:val="de-DE" w:bidi="en-US"/>
        </w:rPr>
        <w:t>etc..</w:t>
      </w:r>
      <w:proofErr w:type="gramEnd"/>
      <w:r w:rsidRPr="00004DA4">
        <w:rPr>
          <w:lang w:val="de-DE" w:bidi="en-US"/>
        </w:rPr>
        <w:t xml:space="preserve"> Diese Messberichte sind hochtechnischer Natur und können nur von Experten interpretiert werden. </w:t>
      </w:r>
    </w:p>
    <w:p w14:paraId="409EFAD0" w14:textId="302385D1" w:rsidR="00B24A90" w:rsidRPr="00D91A5C" w:rsidRDefault="00B24A90" w:rsidP="00D91A5C">
      <w:pPr>
        <w:pStyle w:val="Listenabsatz"/>
        <w:numPr>
          <w:ilvl w:val="0"/>
          <w:numId w:val="9"/>
        </w:numPr>
        <w:spacing w:after="160"/>
        <w:jc w:val="left"/>
        <w:rPr>
          <w:lang w:val="de-DE" w:bidi="en-US"/>
        </w:rPr>
      </w:pPr>
      <w:r w:rsidRPr="00D91A5C">
        <w:rPr>
          <w:lang w:val="de-DE" w:bidi="en-US"/>
        </w:rPr>
        <w:t xml:space="preserve">Die zweite Form von Messergebnissen, die bei Behörden vorliegen, ergeben sich aus kontinuierlichen Messungen der Emissionen. Diese Messergebnisse werden nach einem komplexen Auswertungsverfahren entweder telemetrisch über eine elektronische Schnittstelle direkt an die Behörde verschickt oder als Jahresmessbericht der Behörde übermittelt. Sofern Überschreitungen festgestellt werden, sind diese gesondert auszuweisen und der zuständigen Behöre unverzüglich mitzuteilen. Auch diese Daten enthalten Betriebs- und Geschäftsgeheimnisse des Betreibers (siehe zum Beispiel Ziffer 5.3.3.5 </w:t>
      </w:r>
      <w:proofErr w:type="gramStart"/>
      <w:r w:rsidRPr="00D91A5C">
        <w:rPr>
          <w:lang w:val="de-DE" w:bidi="en-US"/>
        </w:rPr>
        <w:t>TA Luft</w:t>
      </w:r>
      <w:proofErr w:type="gramEnd"/>
      <w:r w:rsidRPr="00D91A5C">
        <w:rPr>
          <w:lang w:val="de-DE" w:bidi="en-US"/>
        </w:rPr>
        <w:t>).</w:t>
      </w:r>
    </w:p>
    <w:p w14:paraId="1D580BDB" w14:textId="12480734" w:rsidR="00477522" w:rsidRDefault="00B24A90" w:rsidP="00004DA4">
      <w:pPr>
        <w:spacing w:after="160"/>
        <w:jc w:val="left"/>
        <w:rPr>
          <w:lang w:val="de-DE" w:bidi="en-US"/>
        </w:rPr>
      </w:pPr>
      <w:r w:rsidRPr="00B24A90">
        <w:rPr>
          <w:lang w:val="de-DE" w:bidi="en-US"/>
        </w:rPr>
        <w:t xml:space="preserve">Für beide Messarten gilt, dass die Daten nicht ohne einen sehr erheblichen Verwaltungsaufwand </w:t>
      </w:r>
      <w:r w:rsidR="00525425">
        <w:rPr>
          <w:lang w:val="de-DE" w:bidi="en-US"/>
        </w:rPr>
        <w:t>i</w:t>
      </w:r>
      <w:r w:rsidRPr="00B24A90">
        <w:rPr>
          <w:lang w:val="de-DE" w:bidi="en-US"/>
        </w:rPr>
        <w:t>nternetfähig aufbereitet werden müssten. Betriebs- und Ge</w:t>
      </w:r>
      <w:r w:rsidR="00D91A5C">
        <w:rPr>
          <w:lang w:val="de-DE" w:bidi="en-US"/>
        </w:rPr>
        <w:t>schäftsge</w:t>
      </w:r>
      <w:r w:rsidRPr="00B24A90">
        <w:rPr>
          <w:lang w:val="de-DE" w:bidi="en-US"/>
        </w:rPr>
        <w:t xml:space="preserve">heimnisse, aber auch personenbezogene Daten müssen vor Veröffentlichung gemäß § 9 UIG entfernt werden. Im Zweifel sind hier auch die Betreiber zu beteiligen und anzuhören. </w:t>
      </w:r>
      <w:r w:rsidRPr="00727CF3">
        <w:rPr>
          <w:b/>
          <w:bCs/>
          <w:lang w:val="de-DE" w:bidi="en-US"/>
        </w:rPr>
        <w:t>Es ist absehbar, dass hier ein erheblicher bürokratischer Aufwand bei den Vollzugsbehörden, aber auch bei den Betreibern entstehen wird</w:t>
      </w:r>
      <w:r w:rsidRPr="00B24A90">
        <w:rPr>
          <w:lang w:val="de-DE" w:bidi="en-US"/>
        </w:rPr>
        <w:t>, den der Gesetzentwurf nicht adressiert.</w:t>
      </w:r>
    </w:p>
    <w:p w14:paraId="52B42AA6" w14:textId="20A9829F" w:rsidR="00E11D83" w:rsidRPr="00210E0C" w:rsidRDefault="00E11D83" w:rsidP="00E11D83">
      <w:pPr>
        <w:pStyle w:val="berschrift1"/>
        <w:rPr>
          <w:highlight w:val="cyan"/>
          <w:lang w:val="de-DE"/>
        </w:rPr>
      </w:pPr>
      <w:bookmarkStart w:id="40" w:name="_Toc187072929"/>
      <w:r w:rsidRPr="00210E0C">
        <w:rPr>
          <w:highlight w:val="cyan"/>
          <w:lang w:val="de-DE"/>
        </w:rPr>
        <w:t>1.</w:t>
      </w:r>
      <w:r w:rsidR="00210E0C">
        <w:rPr>
          <w:highlight w:val="cyan"/>
          <w:lang w:val="de-DE"/>
        </w:rPr>
        <w:t>2</w:t>
      </w:r>
      <w:r w:rsidR="00E82F9F">
        <w:rPr>
          <w:highlight w:val="cyan"/>
          <w:lang w:val="de-DE"/>
        </w:rPr>
        <w:t>4</w:t>
      </w:r>
      <w:r w:rsidRPr="00210E0C">
        <w:rPr>
          <w:highlight w:val="cyan"/>
          <w:lang w:val="de-DE"/>
        </w:rPr>
        <w:t xml:space="preserve"> </w:t>
      </w:r>
      <w:r w:rsidR="00D711D7">
        <w:rPr>
          <w:highlight w:val="cyan"/>
          <w:lang w:val="de-DE"/>
        </w:rPr>
        <w:t xml:space="preserve">Bei </w:t>
      </w:r>
      <w:r w:rsidRPr="00210E0C">
        <w:rPr>
          <w:highlight w:val="cyan"/>
          <w:lang w:val="de-DE"/>
        </w:rPr>
        <w:t xml:space="preserve">Veröffentlichung von Ergebnissen der Emissionsüberwachung </w:t>
      </w:r>
      <w:r w:rsidR="00D711D7">
        <w:rPr>
          <w:highlight w:val="cyan"/>
          <w:lang w:val="de-DE"/>
        </w:rPr>
        <w:t>Betriebs- und Geschäftsgeheimnisse berücksichtigen</w:t>
      </w:r>
      <w:r w:rsidRPr="00210E0C">
        <w:rPr>
          <w:highlight w:val="cyan"/>
          <w:lang w:val="de-DE"/>
        </w:rPr>
        <w:t xml:space="preserve"> (§ 31 Abs. 5 BImSchG)</w:t>
      </w:r>
      <w:bookmarkEnd w:id="40"/>
    </w:p>
    <w:p w14:paraId="38834E1C" w14:textId="4702479B" w:rsidR="00E90F01" w:rsidRPr="00210E0C" w:rsidRDefault="00E11D83" w:rsidP="00E11D83">
      <w:pPr>
        <w:spacing w:after="160"/>
        <w:jc w:val="left"/>
        <w:rPr>
          <w:highlight w:val="cyan"/>
          <w:lang w:val="de-DE" w:bidi="en-US"/>
        </w:rPr>
      </w:pPr>
      <w:r w:rsidRPr="00210E0C">
        <w:rPr>
          <w:highlight w:val="cyan"/>
          <w:lang w:val="de-DE" w:bidi="en-US"/>
        </w:rPr>
        <w:t xml:space="preserve">Der neu gefasste § 31 Abs. 5 Satz </w:t>
      </w:r>
      <w:r w:rsidR="00055738" w:rsidRPr="00210E0C">
        <w:rPr>
          <w:highlight w:val="cyan"/>
          <w:lang w:val="de-DE" w:bidi="en-US"/>
        </w:rPr>
        <w:t xml:space="preserve">4 </w:t>
      </w:r>
      <w:r w:rsidRPr="00210E0C">
        <w:rPr>
          <w:highlight w:val="cyan"/>
          <w:lang w:val="de-DE" w:bidi="en-US"/>
        </w:rPr>
        <w:t xml:space="preserve">BImSchG sollte </w:t>
      </w:r>
      <w:r w:rsidR="004355E6" w:rsidRPr="00210E0C">
        <w:rPr>
          <w:highlight w:val="cyan"/>
          <w:lang w:val="de-DE" w:bidi="en-US"/>
        </w:rPr>
        <w:t>um § 9 UIG</w:t>
      </w:r>
      <w:r w:rsidRPr="00210E0C">
        <w:rPr>
          <w:highlight w:val="cyan"/>
          <w:lang w:val="de-DE" w:bidi="en-US"/>
        </w:rPr>
        <w:t xml:space="preserve"> </w:t>
      </w:r>
      <w:r w:rsidR="00250F6A">
        <w:rPr>
          <w:highlight w:val="cyan"/>
          <w:lang w:val="de-DE" w:bidi="en-US"/>
        </w:rPr>
        <w:t xml:space="preserve">erweitert </w:t>
      </w:r>
      <w:r w:rsidRPr="00210E0C">
        <w:rPr>
          <w:highlight w:val="cyan"/>
          <w:lang w:val="de-DE" w:bidi="en-US"/>
        </w:rPr>
        <w:t>werden. D</w:t>
      </w:r>
      <w:r w:rsidR="003651FD" w:rsidRPr="00210E0C">
        <w:rPr>
          <w:highlight w:val="cyan"/>
          <w:lang w:val="de-DE" w:bidi="en-US"/>
        </w:rPr>
        <w:t>ie</w:t>
      </w:r>
      <w:r w:rsidRPr="00210E0C">
        <w:rPr>
          <w:highlight w:val="cyan"/>
          <w:lang w:val="de-DE" w:bidi="en-US"/>
        </w:rPr>
        <w:t xml:space="preserve"> Veröffentlichung von Ergebnissen der Emissionsüberwachung </w:t>
      </w:r>
      <w:r w:rsidR="003651FD" w:rsidRPr="00210E0C">
        <w:rPr>
          <w:highlight w:val="cyan"/>
          <w:lang w:val="de-DE" w:bidi="en-US"/>
        </w:rPr>
        <w:t xml:space="preserve">im Internet </w:t>
      </w:r>
      <w:r w:rsidR="004355E6" w:rsidRPr="00210E0C">
        <w:rPr>
          <w:highlight w:val="cyan"/>
          <w:lang w:val="de-DE" w:bidi="en-US"/>
        </w:rPr>
        <w:t>muss</w:t>
      </w:r>
      <w:r w:rsidR="00A966B6" w:rsidRPr="00210E0C">
        <w:rPr>
          <w:highlight w:val="cyan"/>
          <w:lang w:val="de-DE" w:bidi="en-US"/>
        </w:rPr>
        <w:t xml:space="preserve"> </w:t>
      </w:r>
      <w:r w:rsidR="00E90F01" w:rsidRPr="00210E0C">
        <w:rPr>
          <w:highlight w:val="cyan"/>
          <w:lang w:val="de-DE" w:bidi="en-US"/>
        </w:rPr>
        <w:t xml:space="preserve">auch </w:t>
      </w:r>
      <w:r w:rsidR="00A966B6" w:rsidRPr="00210E0C">
        <w:rPr>
          <w:highlight w:val="cyan"/>
          <w:lang w:val="de-DE" w:bidi="en-US"/>
        </w:rPr>
        <w:t>eingeschränkt</w:t>
      </w:r>
      <w:r w:rsidR="004355E6" w:rsidRPr="00210E0C">
        <w:rPr>
          <w:highlight w:val="cyan"/>
          <w:lang w:val="de-DE" w:bidi="en-US"/>
        </w:rPr>
        <w:t xml:space="preserve"> werden</w:t>
      </w:r>
      <w:r w:rsidR="00E90F01" w:rsidRPr="00210E0C">
        <w:rPr>
          <w:highlight w:val="cyan"/>
          <w:lang w:val="de-DE" w:bidi="en-US"/>
        </w:rPr>
        <w:t>, wenn Betriebs- und Geschäftsgeheimnisse betroffen sind.</w:t>
      </w:r>
    </w:p>
    <w:p w14:paraId="70AAF678" w14:textId="4A370378" w:rsidR="00E90F01" w:rsidRPr="00210E0C" w:rsidRDefault="00E90F01" w:rsidP="00E11D83">
      <w:pPr>
        <w:spacing w:after="160"/>
        <w:jc w:val="left"/>
        <w:rPr>
          <w:highlight w:val="cyan"/>
          <w:lang w:val="de-DE" w:bidi="en-US"/>
        </w:rPr>
      </w:pPr>
      <w:r w:rsidRPr="00210E0C">
        <w:rPr>
          <w:highlight w:val="cyan"/>
          <w:lang w:val="de-DE" w:bidi="en-US"/>
        </w:rPr>
        <w:lastRenderedPageBreak/>
        <w:t xml:space="preserve">In § 31 Abs. 5 Satz 4 neu BImSchG ist geregelt, dass </w:t>
      </w:r>
      <w:r w:rsidR="003651FD" w:rsidRPr="00210E0C">
        <w:rPr>
          <w:highlight w:val="cyan"/>
          <w:lang w:val="de-DE" w:bidi="en-US"/>
        </w:rPr>
        <w:t>§ 8 Abs. 1 Nr. 1 und Nr. 3 des Umweltinformationsgesetzes der Veröffentlichung im Internet entgegenstehen</w:t>
      </w:r>
      <w:r w:rsidR="00B85071" w:rsidRPr="00210E0C">
        <w:rPr>
          <w:highlight w:val="cyan"/>
          <w:lang w:val="de-DE" w:bidi="en-US"/>
        </w:rPr>
        <w:t xml:space="preserve"> </w:t>
      </w:r>
      <w:r w:rsidR="003A6CBF" w:rsidRPr="00210E0C">
        <w:rPr>
          <w:highlight w:val="cyan"/>
          <w:lang w:val="de-DE" w:bidi="en-US"/>
        </w:rPr>
        <w:t>(nachteilige Auswirkungen auf internationale Beziehungen und Gerichtsverfahren)</w:t>
      </w:r>
      <w:r w:rsidR="003651FD" w:rsidRPr="00210E0C">
        <w:rPr>
          <w:highlight w:val="cyan"/>
          <w:lang w:val="de-DE" w:bidi="en-US"/>
        </w:rPr>
        <w:t xml:space="preserve">. Dies ist nicht ausreichend. </w:t>
      </w:r>
      <w:r w:rsidR="002658B8" w:rsidRPr="00210E0C">
        <w:rPr>
          <w:highlight w:val="cyan"/>
          <w:lang w:val="de-DE" w:bidi="en-US"/>
        </w:rPr>
        <w:t>§ 31 Abs. 5 Satz 4 neu BImSchG</w:t>
      </w:r>
      <w:r w:rsidR="003A6CBF" w:rsidRPr="00210E0C">
        <w:rPr>
          <w:highlight w:val="cyan"/>
          <w:lang w:val="de-DE" w:bidi="en-US"/>
        </w:rPr>
        <w:t xml:space="preserve"> muss </w:t>
      </w:r>
      <w:r w:rsidR="00C77EF8" w:rsidRPr="00210E0C">
        <w:rPr>
          <w:highlight w:val="cyan"/>
          <w:lang w:val="de-DE" w:bidi="en-US"/>
        </w:rPr>
        <w:t>nicht nur den Schutz öffentlicher Belange (§ 8 UIG)</w:t>
      </w:r>
      <w:r w:rsidR="0008260C" w:rsidRPr="00210E0C">
        <w:rPr>
          <w:highlight w:val="cyan"/>
          <w:lang w:val="de-DE" w:bidi="en-US"/>
        </w:rPr>
        <w:t xml:space="preserve"> sicherstellen</w:t>
      </w:r>
      <w:r w:rsidR="00C77EF8" w:rsidRPr="00210E0C">
        <w:rPr>
          <w:highlight w:val="cyan"/>
          <w:lang w:val="de-DE" w:bidi="en-US"/>
        </w:rPr>
        <w:t>, sondern auch den Schutz sonstiger Belange (§ 9 UIG</w:t>
      </w:r>
      <w:r w:rsidR="00FD1782" w:rsidRPr="00210E0C">
        <w:rPr>
          <w:highlight w:val="cyan"/>
          <w:lang w:val="de-DE" w:bidi="en-US"/>
        </w:rPr>
        <w:t xml:space="preserve">, Rechte am geistigen Eigentum, Geschäfts- und Betriebsgeheimnisse etc.). </w:t>
      </w:r>
    </w:p>
    <w:p w14:paraId="7CF5BB32" w14:textId="7B2C002D" w:rsidR="009076D1" w:rsidRDefault="0008260C" w:rsidP="004355E6">
      <w:pPr>
        <w:spacing w:after="160"/>
        <w:jc w:val="left"/>
        <w:rPr>
          <w:lang w:val="de-DE" w:bidi="en-US"/>
        </w:rPr>
      </w:pPr>
      <w:r w:rsidRPr="00210E0C">
        <w:rPr>
          <w:highlight w:val="cyan"/>
          <w:lang w:val="de-DE" w:bidi="en-US"/>
        </w:rPr>
        <w:t>§ 31 Abs. 5 BImSchG setzt Art. 24 der IED um. In Art. 24 Abs. 4 der IED</w:t>
      </w:r>
      <w:r w:rsidR="00405426" w:rsidRPr="00210E0C">
        <w:rPr>
          <w:highlight w:val="cyan"/>
          <w:lang w:val="de-DE" w:bidi="en-US"/>
        </w:rPr>
        <w:t xml:space="preserve"> wird ausdrücklich auf die „</w:t>
      </w:r>
      <w:r w:rsidR="00E90F01" w:rsidRPr="00210E0C">
        <w:rPr>
          <w:highlight w:val="cyan"/>
          <w:lang w:val="de-DE" w:bidi="en-US"/>
        </w:rPr>
        <w:t>Einschränkungen in Artikel 4 Absätze 1 und 2 der Richtlinie 2003/4/EG</w:t>
      </w:r>
      <w:r w:rsidR="00405426" w:rsidRPr="00210E0C">
        <w:rPr>
          <w:highlight w:val="cyan"/>
          <w:lang w:val="de-DE" w:bidi="en-US"/>
        </w:rPr>
        <w:t>“ verwiesen</w:t>
      </w:r>
      <w:r w:rsidR="00614811" w:rsidRPr="00210E0C">
        <w:rPr>
          <w:highlight w:val="cyan"/>
          <w:lang w:val="de-DE" w:bidi="en-US"/>
        </w:rPr>
        <w:t xml:space="preserve">, der ebenfalls die sonstigen Belange wie geistiges Eigentum und Betriebs- und Geschäftsgeheimnisse umfasst. </w:t>
      </w:r>
      <w:r w:rsidR="00210E0C" w:rsidRPr="00210E0C">
        <w:rPr>
          <w:highlight w:val="cyan"/>
          <w:lang w:val="de-DE" w:bidi="en-US"/>
        </w:rPr>
        <w:t>Es ist daher nicht ersichtlich, aus welchen Gründen der deutsche Gesetzgeber den Schutz der Betriebs- und Geschäftsgeheimnisse nicht sicherstellen will.</w:t>
      </w:r>
    </w:p>
    <w:p w14:paraId="620D211C" w14:textId="3FFD4F69" w:rsidR="007C306D" w:rsidRPr="00F31404" w:rsidRDefault="007C306D" w:rsidP="004355E6">
      <w:pPr>
        <w:spacing w:after="160"/>
        <w:jc w:val="left"/>
        <w:rPr>
          <w:lang w:val="de-DE" w:bidi="en-US"/>
        </w:rPr>
      </w:pPr>
      <w:r w:rsidRPr="00FC3B7E">
        <w:rPr>
          <w:highlight w:val="cyan"/>
          <w:lang w:val="de-DE" w:bidi="en-US"/>
        </w:rPr>
        <w:t>Die Ausführungen in der Begründung des Gesetzentwurfes, wonach der Zugang zu Umweltinformationen über Emissionen gemäß § 9 Abs. 1 Satz 2 UIG nicht abgelehnt werden kann, gehen hier fehl. Nach UIG geschützt werden nicht die reinen Emissionsdaten. Enthalten die Messberichte allerdings Aussagen über die konkrete Betriebsweise der Anlage (zum Beispiel Druck- oder Temperaturniveaus), über Einsatzstoffmengen- oder Verhältnisse etc. so können dies geschützte Betriebs- und Geschäftsgeheimnisse des Betreibers sein, die auch vom Schutz des UIG umfasst sind. Solche Aussagen in Messberichten müssen geschwärzt werden können.</w:t>
      </w:r>
    </w:p>
    <w:p w14:paraId="3656858F" w14:textId="2BF76D04" w:rsidR="00F7798B" w:rsidRPr="00F7798B" w:rsidRDefault="005A3FBD" w:rsidP="00F7798B">
      <w:pPr>
        <w:pStyle w:val="berschrift1"/>
        <w:rPr>
          <w:lang w:val="de-DE"/>
        </w:rPr>
      </w:pPr>
      <w:bookmarkStart w:id="41" w:name="_Toc187072930"/>
      <w:r>
        <w:rPr>
          <w:lang w:val="de-DE"/>
        </w:rPr>
        <w:t>1</w:t>
      </w:r>
      <w:r w:rsidR="00477522">
        <w:rPr>
          <w:lang w:val="de-DE"/>
        </w:rPr>
        <w:t>.</w:t>
      </w:r>
      <w:r w:rsidR="00065795">
        <w:rPr>
          <w:lang w:val="de-DE"/>
        </w:rPr>
        <w:t>2</w:t>
      </w:r>
      <w:r w:rsidR="00E82F9F">
        <w:rPr>
          <w:lang w:val="de-DE"/>
        </w:rPr>
        <w:t>5</w:t>
      </w:r>
      <w:r w:rsidR="00477522" w:rsidRPr="00091C0D">
        <w:rPr>
          <w:lang w:val="de-DE"/>
        </w:rPr>
        <w:t xml:space="preserve"> </w:t>
      </w:r>
      <w:r w:rsidR="00802FDC" w:rsidRPr="00FC75D2">
        <w:rPr>
          <w:lang w:val="de-DE"/>
        </w:rPr>
        <w:t>Regelungen zu Ausnahmen und Industrieller Transformation ergänzen</w:t>
      </w:r>
      <w:r w:rsidR="00802FDC">
        <w:rPr>
          <w:lang w:val="de-DE"/>
        </w:rPr>
        <w:t xml:space="preserve"> </w:t>
      </w:r>
      <w:r w:rsidR="001D2FFA">
        <w:rPr>
          <w:lang w:val="de-DE"/>
        </w:rPr>
        <w:br/>
      </w:r>
      <w:r w:rsidR="00802FDC">
        <w:rPr>
          <w:lang w:val="de-DE"/>
        </w:rPr>
        <w:t>(§ 48 BImSchG)</w:t>
      </w:r>
      <w:bookmarkEnd w:id="41"/>
    </w:p>
    <w:p w14:paraId="7D7186E5" w14:textId="05213264" w:rsidR="00802FDC" w:rsidRPr="00FC75D2" w:rsidRDefault="00802FDC" w:rsidP="00802FDC">
      <w:pPr>
        <w:spacing w:after="160"/>
        <w:jc w:val="left"/>
        <w:rPr>
          <w:lang w:val="de-DE" w:bidi="en-US"/>
        </w:rPr>
      </w:pPr>
      <w:r>
        <w:rPr>
          <w:lang w:val="de-DE" w:bidi="en-US"/>
        </w:rPr>
        <w:t xml:space="preserve">Auch in </w:t>
      </w:r>
      <w:r w:rsidRPr="00B5274F">
        <w:rPr>
          <w:highlight w:val="cyan"/>
          <w:lang w:val="de-DE" w:bidi="en-US"/>
        </w:rPr>
        <w:t xml:space="preserve">§ </w:t>
      </w:r>
      <w:r w:rsidR="00B5274F" w:rsidRPr="00B5274F">
        <w:rPr>
          <w:highlight w:val="cyan"/>
          <w:lang w:val="de-DE" w:bidi="en-US"/>
        </w:rPr>
        <w:t>48</w:t>
      </w:r>
      <w:r w:rsidRPr="00B5274F">
        <w:rPr>
          <w:highlight w:val="cyan"/>
          <w:lang w:val="de-DE" w:bidi="en-US"/>
        </w:rPr>
        <w:t xml:space="preserve"> BImSchG</w:t>
      </w:r>
      <w:r>
        <w:rPr>
          <w:lang w:val="de-DE" w:bidi="en-US"/>
        </w:rPr>
        <w:t xml:space="preserve"> sollten, wie </w:t>
      </w:r>
      <w:r w:rsidRPr="00FC75D2">
        <w:rPr>
          <w:lang w:val="de-DE" w:bidi="en-US"/>
        </w:rPr>
        <w:t xml:space="preserve">oben zu § 7 näher ausgeführt, folgende Regelungen </w:t>
      </w:r>
      <w:r>
        <w:rPr>
          <w:lang w:val="de-DE" w:bidi="en-US"/>
        </w:rPr>
        <w:t xml:space="preserve">zum Ausnahmekatalog </w:t>
      </w:r>
      <w:r w:rsidRPr="00FC75D2">
        <w:rPr>
          <w:lang w:val="de-DE" w:bidi="en-US"/>
        </w:rPr>
        <w:t>ergänzt werden</w:t>
      </w:r>
      <w:r>
        <w:rPr>
          <w:lang w:val="de-DE" w:bidi="en-US"/>
        </w:rPr>
        <w:t>:</w:t>
      </w:r>
    </w:p>
    <w:p w14:paraId="07510D69" w14:textId="77777777" w:rsidR="00802FDC" w:rsidRDefault="00802FDC" w:rsidP="00F03B6F">
      <w:pPr>
        <w:pStyle w:val="Listenabsatz"/>
        <w:numPr>
          <w:ilvl w:val="0"/>
          <w:numId w:val="9"/>
        </w:numPr>
        <w:spacing w:after="0"/>
        <w:ind w:left="1066" w:hanging="357"/>
        <w:jc w:val="left"/>
        <w:rPr>
          <w:lang w:val="de-DE" w:bidi="en-US"/>
        </w:rPr>
      </w:pPr>
      <w:r w:rsidRPr="007F03C0">
        <w:rPr>
          <w:lang w:val="de-DE" w:bidi="en-US"/>
        </w:rPr>
        <w:t>Ausnahmekatalog vervollständigen: Aufnahme des geografischen Standorts und der lokalen Umweltbedingungen</w:t>
      </w:r>
    </w:p>
    <w:p w14:paraId="4B7C1F54" w14:textId="77777777" w:rsidR="00802FDC" w:rsidRDefault="00802FDC" w:rsidP="00F03B6F">
      <w:pPr>
        <w:pStyle w:val="Listenabsatz"/>
        <w:numPr>
          <w:ilvl w:val="0"/>
          <w:numId w:val="9"/>
        </w:numPr>
        <w:spacing w:after="0"/>
        <w:ind w:left="1066" w:hanging="357"/>
        <w:jc w:val="left"/>
        <w:rPr>
          <w:lang w:val="de-DE" w:bidi="en-US"/>
        </w:rPr>
      </w:pPr>
      <w:r w:rsidRPr="000C12AA">
        <w:rPr>
          <w:lang w:val="de-DE" w:bidi="en-US"/>
        </w:rPr>
        <w:t>Aufwändiges europarechtliches Ausnahmeverfahren darf nicht für Festlegung von Grenzwerten innerhalb europäischer Bandbreiten gelten</w:t>
      </w:r>
    </w:p>
    <w:p w14:paraId="73CABD78" w14:textId="77777777" w:rsidR="00802FDC" w:rsidRDefault="00802FDC" w:rsidP="00F03B6F">
      <w:pPr>
        <w:pStyle w:val="Listenabsatz"/>
        <w:numPr>
          <w:ilvl w:val="0"/>
          <w:numId w:val="9"/>
        </w:numPr>
        <w:spacing w:after="0"/>
        <w:ind w:left="1066" w:hanging="357"/>
        <w:jc w:val="left"/>
        <w:rPr>
          <w:lang w:val="de-DE" w:bidi="en-US"/>
        </w:rPr>
      </w:pPr>
      <w:r w:rsidRPr="00B73D14">
        <w:rPr>
          <w:lang w:val="de-DE" w:bidi="en-US"/>
        </w:rPr>
        <w:t>Ausnahmeregelung zum Krisenfall umsetzen</w:t>
      </w:r>
    </w:p>
    <w:p w14:paraId="7AE32E1A" w14:textId="07C9EACA" w:rsidR="00F06550" w:rsidRPr="00F06550" w:rsidRDefault="00C616B5" w:rsidP="00F06550">
      <w:pPr>
        <w:pStyle w:val="Listenabsatz"/>
        <w:numPr>
          <w:ilvl w:val="0"/>
          <w:numId w:val="9"/>
        </w:numPr>
        <w:spacing w:after="0"/>
        <w:jc w:val="left"/>
        <w:rPr>
          <w:highlight w:val="cyan"/>
          <w:lang w:val="de-DE" w:bidi="en-US"/>
        </w:rPr>
      </w:pPr>
      <w:r>
        <w:rPr>
          <w:lang w:val="de-DE" w:bidi="en-US"/>
        </w:rPr>
        <w:t xml:space="preserve">Klarstellende </w:t>
      </w:r>
      <w:r w:rsidRPr="00B73D14">
        <w:rPr>
          <w:lang w:val="de-DE" w:bidi="en-US"/>
        </w:rPr>
        <w:t>Regelung</w:t>
      </w:r>
      <w:r>
        <w:rPr>
          <w:lang w:val="de-DE" w:bidi="en-US"/>
        </w:rPr>
        <w:t>en</w:t>
      </w:r>
      <w:r w:rsidRPr="00B73D14">
        <w:rPr>
          <w:lang w:val="de-DE" w:bidi="en-US"/>
        </w:rPr>
        <w:t xml:space="preserve"> zur tiefgreifenden industriellen Transformation</w:t>
      </w:r>
      <w:r>
        <w:rPr>
          <w:lang w:val="de-DE" w:bidi="en-US"/>
        </w:rPr>
        <w:t xml:space="preserve"> </w:t>
      </w:r>
      <w:r w:rsidR="00F06550" w:rsidRPr="00F06550">
        <w:rPr>
          <w:lang w:val="de-DE" w:bidi="en-US"/>
        </w:rPr>
        <w:t xml:space="preserve">(Frist, Anlagenstandort </w:t>
      </w:r>
      <w:r w:rsidR="00F06550" w:rsidRPr="00F06550">
        <w:rPr>
          <w:highlight w:val="cyan"/>
          <w:lang w:val="de-DE" w:bidi="en-US"/>
        </w:rPr>
        <w:t>und Soll-Vorschrift siehe oben)</w:t>
      </w:r>
    </w:p>
    <w:p w14:paraId="43D02D89" w14:textId="66FE3491" w:rsidR="00C616B5" w:rsidRPr="00F06550" w:rsidRDefault="00F06550" w:rsidP="00F06550">
      <w:pPr>
        <w:pStyle w:val="Listenabsatz"/>
        <w:numPr>
          <w:ilvl w:val="0"/>
          <w:numId w:val="9"/>
        </w:numPr>
        <w:spacing w:after="0"/>
        <w:jc w:val="left"/>
        <w:rPr>
          <w:highlight w:val="cyan"/>
          <w:lang w:val="de-DE" w:bidi="en-US"/>
        </w:rPr>
      </w:pPr>
      <w:r w:rsidRPr="00F06550">
        <w:rPr>
          <w:highlight w:val="cyan"/>
          <w:lang w:val="de-DE" w:bidi="en-US"/>
        </w:rPr>
        <w:t>Ausnahmevorschrift Zukunftstechniken als Soll-Vorschrift etablieren.</w:t>
      </w:r>
    </w:p>
    <w:p w14:paraId="63AA2BE3" w14:textId="6CEDC2EA" w:rsidR="002F645D" w:rsidRDefault="005A3FBD" w:rsidP="002F645D">
      <w:pPr>
        <w:pStyle w:val="berschrift1"/>
        <w:rPr>
          <w:lang w:val="de-DE"/>
        </w:rPr>
      </w:pPr>
      <w:bookmarkStart w:id="42" w:name="_Toc187072931"/>
      <w:r>
        <w:rPr>
          <w:lang w:val="de-DE"/>
        </w:rPr>
        <w:t>1</w:t>
      </w:r>
      <w:r w:rsidR="002F645D">
        <w:rPr>
          <w:lang w:val="de-DE"/>
        </w:rPr>
        <w:t>.</w:t>
      </w:r>
      <w:r>
        <w:rPr>
          <w:lang w:val="de-DE"/>
        </w:rPr>
        <w:t>2</w:t>
      </w:r>
      <w:r w:rsidR="00E82F9F">
        <w:rPr>
          <w:lang w:val="de-DE"/>
        </w:rPr>
        <w:t>6</w:t>
      </w:r>
      <w:r w:rsidR="002F645D" w:rsidRPr="00091C0D">
        <w:rPr>
          <w:lang w:val="de-DE"/>
        </w:rPr>
        <w:t xml:space="preserve"> </w:t>
      </w:r>
      <w:r w:rsidR="00494EAC">
        <w:rPr>
          <w:lang w:val="de-DE"/>
        </w:rPr>
        <w:t>Verschärfung</w:t>
      </w:r>
      <w:r w:rsidR="009531F7" w:rsidRPr="009531F7">
        <w:rPr>
          <w:lang w:val="de-DE"/>
        </w:rPr>
        <w:t xml:space="preserve"> der Bußgeldvorschrift </w:t>
      </w:r>
      <w:r w:rsidR="00494EAC">
        <w:rPr>
          <w:lang w:val="de-DE"/>
        </w:rPr>
        <w:t>streichen</w:t>
      </w:r>
      <w:r w:rsidR="009531F7">
        <w:rPr>
          <w:lang w:val="de-DE"/>
        </w:rPr>
        <w:t xml:space="preserve"> </w:t>
      </w:r>
      <w:r w:rsidR="004F0FC3">
        <w:rPr>
          <w:lang w:val="de-DE"/>
        </w:rPr>
        <w:t>(</w:t>
      </w:r>
      <w:r w:rsidR="004F0FC3" w:rsidRPr="009531F7">
        <w:rPr>
          <w:lang w:val="de-DE"/>
        </w:rPr>
        <w:t>§ 62 Absatz 5 BImSchG</w:t>
      </w:r>
      <w:r w:rsidR="004F0FC3">
        <w:rPr>
          <w:lang w:val="de-DE"/>
        </w:rPr>
        <w:t>)</w:t>
      </w:r>
      <w:bookmarkEnd w:id="42"/>
    </w:p>
    <w:p w14:paraId="1053E49D" w14:textId="47199AB4" w:rsidR="00446751" w:rsidRDefault="006C090E" w:rsidP="006C090E">
      <w:pPr>
        <w:rPr>
          <w:lang w:val="de-DE"/>
        </w:rPr>
      </w:pPr>
      <w:r w:rsidRPr="00E63EB5">
        <w:rPr>
          <w:lang w:val="de-DE"/>
        </w:rPr>
        <w:t>§ 62 Abs. 5 (neu) BImSchG</w:t>
      </w:r>
      <w:r w:rsidR="00446751">
        <w:rPr>
          <w:lang w:val="de-DE"/>
        </w:rPr>
        <w:t xml:space="preserve"> sollte wieder gestrichen werden. Diese</w:t>
      </w:r>
      <w:r w:rsidR="00494EAC">
        <w:rPr>
          <w:lang w:val="de-DE"/>
        </w:rPr>
        <w:t xml:space="preserve"> Verschärfung </w:t>
      </w:r>
      <w:r w:rsidR="00446751">
        <w:rPr>
          <w:lang w:val="de-DE"/>
        </w:rPr>
        <w:t>ist europarechtlich nicht erforderlich und zu unbestimmt.</w:t>
      </w:r>
      <w:r w:rsidR="00C65D85">
        <w:rPr>
          <w:lang w:val="de-DE"/>
        </w:rPr>
        <w:t xml:space="preserve"> </w:t>
      </w:r>
      <w:r w:rsidR="00B736BE">
        <w:rPr>
          <w:lang w:val="de-DE"/>
        </w:rPr>
        <w:t>§ 62 Abs. 5 neu BImSchG geht erheblich über eine 1:1-Umsetzung hinaus.</w:t>
      </w:r>
      <w:r w:rsidR="00C65D85">
        <w:rPr>
          <w:lang w:val="de-DE"/>
        </w:rPr>
        <w:t xml:space="preserve"> </w:t>
      </w:r>
    </w:p>
    <w:p w14:paraId="2ABDEA99" w14:textId="6E17DA52" w:rsidR="006C090E" w:rsidRPr="00E63EB5" w:rsidRDefault="00446751" w:rsidP="006C090E">
      <w:pPr>
        <w:rPr>
          <w:lang w:val="de-DE"/>
        </w:rPr>
      </w:pPr>
      <w:r>
        <w:rPr>
          <w:lang w:val="de-DE"/>
        </w:rPr>
        <w:t>§ 62 Abs. 5 (neu)</w:t>
      </w:r>
      <w:r w:rsidR="006C090E" w:rsidRPr="00E63EB5">
        <w:rPr>
          <w:lang w:val="de-DE"/>
        </w:rPr>
        <w:t xml:space="preserve"> bestimmt, dass für bestimmt</w:t>
      </w:r>
      <w:r>
        <w:rPr>
          <w:lang w:val="de-DE"/>
        </w:rPr>
        <w:t>e</w:t>
      </w:r>
      <w:r w:rsidR="006C090E" w:rsidRPr="00E63EB5">
        <w:rPr>
          <w:lang w:val="de-DE"/>
        </w:rPr>
        <w:t xml:space="preserve"> Bußgeldtatbestände in Verfahren, in denen juristische Personen oder Personenvereinigungen mit einem Bußgeld belangt werden sollen (§ 30 OWiG)</w:t>
      </w:r>
      <w:r w:rsidR="00CA677C">
        <w:rPr>
          <w:lang w:val="de-DE"/>
        </w:rPr>
        <w:t>,</w:t>
      </w:r>
      <w:r w:rsidR="006C090E" w:rsidRPr="00E63EB5">
        <w:rPr>
          <w:lang w:val="de-DE"/>
        </w:rPr>
        <w:t xml:space="preserve"> über die Höchstgrenze der Geldbuße von 50.000 € hinaus (heutiger § 62 Abs. 4 1. Alt.) eine Geldbuße von bis zu 3% des Gesamtumsatzes des Betreibers in der EU verhängt werden kann.</w:t>
      </w:r>
    </w:p>
    <w:p w14:paraId="4AF49084" w14:textId="10D006A0" w:rsidR="006C090E" w:rsidRPr="00E63EB5" w:rsidRDefault="006C090E" w:rsidP="006C090E">
      <w:pPr>
        <w:rPr>
          <w:lang w:val="de-DE"/>
        </w:rPr>
      </w:pPr>
      <w:r w:rsidRPr="00E63EB5">
        <w:rPr>
          <w:lang w:val="de-DE"/>
        </w:rPr>
        <w:lastRenderedPageBreak/>
        <w:t xml:space="preserve">Ausweislich der Begründung des Gesetzentwurfs, sei diese Änderung europarechtlich geboten, da das geltende Recht nicht in Übereinstimmung mit der Regelung des Art. 79 Abs. 2 </w:t>
      </w:r>
      <w:proofErr w:type="spellStart"/>
      <w:r w:rsidRPr="00E63EB5">
        <w:rPr>
          <w:lang w:val="de-DE"/>
        </w:rPr>
        <w:t>UAbs</w:t>
      </w:r>
      <w:proofErr w:type="spellEnd"/>
      <w:r w:rsidRPr="00E63EB5">
        <w:rPr>
          <w:lang w:val="de-DE"/>
        </w:rPr>
        <w:t>. 2 IED stehe.</w:t>
      </w:r>
      <w:r w:rsidR="00DB3E9E">
        <w:rPr>
          <w:lang w:val="de-DE"/>
        </w:rPr>
        <w:t xml:space="preserve"> </w:t>
      </w:r>
      <w:r w:rsidRPr="00E63EB5">
        <w:rPr>
          <w:lang w:val="de-DE"/>
        </w:rPr>
        <w:t xml:space="preserve">Diese Auffassung ist </w:t>
      </w:r>
      <w:proofErr w:type="gramStart"/>
      <w:r w:rsidRPr="00E63EB5">
        <w:rPr>
          <w:lang w:val="de-DE"/>
        </w:rPr>
        <w:t>nicht zutreffend</w:t>
      </w:r>
      <w:proofErr w:type="gramEnd"/>
      <w:r w:rsidRPr="00E63EB5">
        <w:rPr>
          <w:lang w:val="de-DE"/>
        </w:rPr>
        <w:t>.</w:t>
      </w:r>
    </w:p>
    <w:p w14:paraId="2358E967" w14:textId="77777777" w:rsidR="006C090E" w:rsidRPr="00E63EB5" w:rsidRDefault="006C090E" w:rsidP="006C090E">
      <w:pPr>
        <w:rPr>
          <w:lang w:val="de-DE"/>
        </w:rPr>
      </w:pPr>
      <w:r w:rsidRPr="00E63EB5">
        <w:rPr>
          <w:lang w:val="de-DE"/>
        </w:rPr>
        <w:t>Art. 79 Abs. 2 IED lautet vollständig wie folgt:</w:t>
      </w:r>
    </w:p>
    <w:p w14:paraId="24FED8E8" w14:textId="77777777" w:rsidR="006C090E" w:rsidRPr="00DB3E9E" w:rsidRDefault="006C090E" w:rsidP="00304275">
      <w:pPr>
        <w:ind w:left="708"/>
        <w:rPr>
          <w:i/>
          <w:iCs/>
          <w:lang w:val="de-DE"/>
        </w:rPr>
      </w:pPr>
      <w:r w:rsidRPr="00DB3E9E">
        <w:rPr>
          <w:i/>
          <w:iCs/>
          <w:lang w:val="de-DE"/>
        </w:rPr>
        <w:t>„Die in Absatz 1 genannten Sanktionen umfassen verwaltungsrechtliche finanzielle Sanktionen, mit denen denjenigen, die den Verstoß begangen haben, effektiv der wirtschaftliche Nutzen aus dem Verstoß genommen wird.</w:t>
      </w:r>
    </w:p>
    <w:p w14:paraId="5FD3F081" w14:textId="00795CD6" w:rsidR="006C090E" w:rsidRPr="00DB3E9E" w:rsidRDefault="006C090E" w:rsidP="00304275">
      <w:pPr>
        <w:ind w:left="708"/>
        <w:rPr>
          <w:i/>
          <w:iCs/>
          <w:lang w:val="de-DE"/>
        </w:rPr>
      </w:pPr>
      <w:r w:rsidRPr="007D01D7">
        <w:rPr>
          <w:b/>
          <w:bCs/>
          <w:i/>
          <w:iCs/>
          <w:lang w:val="de-DE"/>
        </w:rPr>
        <w:t>Für die schwersten Verstöße</w:t>
      </w:r>
      <w:r w:rsidRPr="00DB3E9E">
        <w:rPr>
          <w:i/>
          <w:iCs/>
          <w:lang w:val="de-DE"/>
        </w:rPr>
        <w:t xml:space="preserve">, die von einer juristischen Person begangen werden, beträgt der Höchstbetrag der in Unterabsatz 1 genannten verwaltungsrechtlichen finanziellen Sanktionen mindestens 3% des Jahresumsatzes des Betreibers in der Union in dem Geschäftsjahr, das dem </w:t>
      </w:r>
      <w:r w:rsidR="00604ED2">
        <w:rPr>
          <w:i/>
          <w:iCs/>
          <w:lang w:val="de-DE"/>
        </w:rPr>
        <w:t>J</w:t>
      </w:r>
      <w:r w:rsidRPr="00DB3E9E">
        <w:rPr>
          <w:i/>
          <w:iCs/>
          <w:lang w:val="de-DE"/>
        </w:rPr>
        <w:t>ahr vorausgeht, in dem die Geldbuße verhängt wird.</w:t>
      </w:r>
    </w:p>
    <w:p w14:paraId="05BC291B" w14:textId="32622DC2" w:rsidR="006C090E" w:rsidRPr="00604ED2" w:rsidRDefault="006C090E" w:rsidP="00304275">
      <w:pPr>
        <w:ind w:left="708"/>
        <w:rPr>
          <w:i/>
          <w:iCs/>
          <w:lang w:val="de-DE"/>
        </w:rPr>
      </w:pPr>
      <w:r w:rsidRPr="00AA7CC2">
        <w:rPr>
          <w:i/>
          <w:iCs/>
          <w:lang w:val="de-DE"/>
        </w:rPr>
        <w:t>Die Mitgliedstaaten können auch oder alternativ dazu strafrechtliche Sanktionen verhängen</w:t>
      </w:r>
      <w:r w:rsidRPr="00DB3E9E">
        <w:rPr>
          <w:i/>
          <w:iCs/>
          <w:lang w:val="de-DE"/>
        </w:rPr>
        <w:t>, sofern diese ebenso wirksam, verhältnismäßig und abschreckend sind wie die in Unterabsatz 1 genannten verwaltungsrechtlichen finanziellen Sanktionen.“</w:t>
      </w:r>
    </w:p>
    <w:p w14:paraId="1E819C6B" w14:textId="77777777" w:rsidR="006C090E" w:rsidRPr="006C090E" w:rsidRDefault="006C090E" w:rsidP="006C090E">
      <w:pPr>
        <w:rPr>
          <w:lang w:val="de-DE"/>
        </w:rPr>
      </w:pPr>
      <w:r w:rsidRPr="006C090E">
        <w:rPr>
          <w:lang w:val="de-DE"/>
        </w:rPr>
        <w:t>Das bestehende deutsche Sanktionsrecht im Umweltstrafrecht und im Ordnungswidrigkeitenrecht ist ausreichend, um die von der IED geforderte Abschreckungswirkung zu erzielen. Dabei verfügt das deutsche Recht über ausreichende und sehr einschneidende finanzielle Sanktionsmechanismen im Hinblick auf natürliche Personen wie auch für juristische Personen.</w:t>
      </w:r>
    </w:p>
    <w:p w14:paraId="6D5A83C5" w14:textId="785D9FE1" w:rsidR="006C090E" w:rsidRPr="00AA7CC2" w:rsidRDefault="006C090E" w:rsidP="006C090E">
      <w:pPr>
        <w:rPr>
          <w:i/>
          <w:iCs/>
          <w:lang w:val="de-DE"/>
        </w:rPr>
      </w:pPr>
      <w:r w:rsidRPr="006C090E">
        <w:rPr>
          <w:lang w:val="de-DE"/>
        </w:rPr>
        <w:t xml:space="preserve">Im Hinblick speziell auf juristische Personen/Personenvereinigungen sieht das OWiG bereits in § 29a die Einziehung des Werts von Taterträgen vor. Dies entspricht der Forderung von </w:t>
      </w:r>
      <w:r w:rsidRPr="004D313E">
        <w:rPr>
          <w:highlight w:val="cyan"/>
          <w:lang w:val="de-DE"/>
        </w:rPr>
        <w:t xml:space="preserve">Art. </w:t>
      </w:r>
      <w:r w:rsidR="004D313E" w:rsidRPr="004D313E">
        <w:rPr>
          <w:highlight w:val="cyan"/>
          <w:lang w:val="de-DE"/>
        </w:rPr>
        <w:t>79</w:t>
      </w:r>
      <w:r w:rsidRPr="004D313E">
        <w:rPr>
          <w:highlight w:val="cyan"/>
          <w:lang w:val="de-DE"/>
        </w:rPr>
        <w:t xml:space="preserve"> Abs. </w:t>
      </w:r>
      <w:r w:rsidR="004D313E" w:rsidRPr="004D313E">
        <w:rPr>
          <w:highlight w:val="cyan"/>
          <w:lang w:val="de-DE"/>
        </w:rPr>
        <w:t>2</w:t>
      </w:r>
      <w:r w:rsidRPr="004D313E">
        <w:rPr>
          <w:highlight w:val="cyan"/>
          <w:lang w:val="de-DE"/>
        </w:rPr>
        <w:t xml:space="preserve"> IED</w:t>
      </w:r>
      <w:r w:rsidRPr="006C090E">
        <w:rPr>
          <w:lang w:val="de-DE"/>
        </w:rPr>
        <w:t xml:space="preserve">, dass der wirtschaftliche Nutzen aus dem Verstoß genommen wird. Zudem sei auf § 17 Abs. 4 OWiG verwiesen in dem es heißt: </w:t>
      </w:r>
      <w:r w:rsidRPr="00AA7CC2">
        <w:rPr>
          <w:i/>
          <w:iCs/>
          <w:lang w:val="de-DE"/>
        </w:rPr>
        <w:t>„Die Geldbuße soll den wirtschaftlichen Vorteil, den der Täter aus der Ordnungswidrigkeit gezogen hat, übersteigen. Reicht das gesetzliche Höchstmaß hierzu nicht aus, so kann es überschritten werden.“</w:t>
      </w:r>
    </w:p>
    <w:p w14:paraId="447E00AC" w14:textId="42FBCA64" w:rsidR="006C090E" w:rsidRPr="006C090E" w:rsidRDefault="006C090E" w:rsidP="006C090E">
      <w:pPr>
        <w:rPr>
          <w:lang w:val="de-DE"/>
        </w:rPr>
      </w:pPr>
      <w:r w:rsidRPr="006C090E">
        <w:rPr>
          <w:lang w:val="de-DE"/>
        </w:rPr>
        <w:t>Spiegelbildlich sei auf die umfangreichen Einziehungsvorschriften des Umweltstrafrechts in den §§ 73 ff</w:t>
      </w:r>
      <w:r w:rsidR="00A72C89">
        <w:rPr>
          <w:lang w:val="de-DE"/>
        </w:rPr>
        <w:t>.</w:t>
      </w:r>
      <w:r w:rsidRPr="006C090E">
        <w:rPr>
          <w:lang w:val="de-DE"/>
        </w:rPr>
        <w:t xml:space="preserve"> StGB hingewiesen, insbesondere auch auf den § 74e StGB</w:t>
      </w:r>
      <w:r w:rsidR="00A72C89">
        <w:rPr>
          <w:lang w:val="de-DE"/>
        </w:rPr>
        <w:t>,</w:t>
      </w:r>
      <w:r w:rsidRPr="006C090E">
        <w:rPr>
          <w:lang w:val="de-DE"/>
        </w:rPr>
        <w:t xml:space="preserve"> der ausdrücklich die Zurechenbarkeit von Handeln der Organe bzw. Organvertreter einer juristischen Person/Personenvereinigung in diesen Fällen regelt.</w:t>
      </w:r>
    </w:p>
    <w:p w14:paraId="30EC93BD" w14:textId="77777777" w:rsidR="006C090E" w:rsidRPr="006C090E" w:rsidRDefault="006C090E" w:rsidP="006C090E">
      <w:pPr>
        <w:rPr>
          <w:lang w:val="de-DE"/>
        </w:rPr>
      </w:pPr>
      <w:r w:rsidRPr="006C090E">
        <w:rPr>
          <w:lang w:val="de-DE"/>
        </w:rPr>
        <w:t>Sollte die Regelung nicht gestrichen werden, ist sie jedenfalls inhaltlich grundlegend zu überarbeiten. In der derzeitigen Fassung bestehen erhebliche verfassungsrechtliche Bedenken.</w:t>
      </w:r>
    </w:p>
    <w:p w14:paraId="24C9D564" w14:textId="58F6C1BC" w:rsidR="00C91954" w:rsidRPr="006C090E" w:rsidRDefault="006C090E" w:rsidP="006C090E">
      <w:pPr>
        <w:rPr>
          <w:lang w:val="de-DE"/>
        </w:rPr>
      </w:pPr>
      <w:r w:rsidRPr="006C090E">
        <w:rPr>
          <w:lang w:val="de-DE"/>
        </w:rPr>
        <w:t>Die IED fordert die 3% Regelung nur für die „</w:t>
      </w:r>
      <w:r w:rsidRPr="00D669CF">
        <w:rPr>
          <w:b/>
          <w:bCs/>
          <w:lang w:val="de-DE"/>
        </w:rPr>
        <w:t>schwersten Verstöße</w:t>
      </w:r>
      <w:r w:rsidRPr="006C090E">
        <w:rPr>
          <w:lang w:val="de-DE"/>
        </w:rPr>
        <w:t>“ gegen das IED-Recht.</w:t>
      </w:r>
      <w:r w:rsidR="00A72C89">
        <w:rPr>
          <w:lang w:val="de-DE"/>
        </w:rPr>
        <w:t xml:space="preserve"> </w:t>
      </w:r>
      <w:r w:rsidRPr="006C090E">
        <w:rPr>
          <w:lang w:val="de-DE"/>
        </w:rPr>
        <w:t>Es ist nicht ersichtlich, warum alle Tatbestände auf die der neue § 62 Abs. 5 BImSchG verweist (§ 62 Abs. 1 und 3 und Nr. 1a) und Nr. 2) tatsächlich diese „schwersten“ Verstöße sein sollen. Eine gesetzgeberische nachvollziehbare Entscheidung ist nicht ersichtlich.</w:t>
      </w:r>
      <w:r w:rsidR="008F4306">
        <w:rPr>
          <w:lang w:val="de-DE"/>
        </w:rPr>
        <w:t xml:space="preserve"> </w:t>
      </w:r>
      <w:r w:rsidR="00C91954">
        <w:rPr>
          <w:lang w:val="de-DE"/>
        </w:rPr>
        <w:t xml:space="preserve">Wenn der Betreiber zum Beispiel eine </w:t>
      </w:r>
      <w:r w:rsidR="00C91954" w:rsidRPr="00C91954">
        <w:rPr>
          <w:lang w:val="de-DE"/>
        </w:rPr>
        <w:t xml:space="preserve">vollziehbare Auflage </w:t>
      </w:r>
      <w:r w:rsidR="00C91954">
        <w:rPr>
          <w:lang w:val="de-DE"/>
        </w:rPr>
        <w:t xml:space="preserve">(§ 62 Abs. 1 Nr. 3 BImSchG) </w:t>
      </w:r>
      <w:r w:rsidR="00C91954" w:rsidRPr="00C91954">
        <w:rPr>
          <w:lang w:val="de-DE"/>
        </w:rPr>
        <w:t>nicht richtig, nicht vollständig oder nicht rechtzeitig erfüllt</w:t>
      </w:r>
      <w:r w:rsidR="005F7CE7">
        <w:rPr>
          <w:lang w:val="de-DE"/>
        </w:rPr>
        <w:t>, so wird dies nicht in jedem Fall einen „schwersten Verstoß“ darstellen.</w:t>
      </w:r>
    </w:p>
    <w:p w14:paraId="7C3AECB1" w14:textId="3FE6B91E" w:rsidR="002C2966" w:rsidRDefault="008F4306" w:rsidP="00F7798B">
      <w:pPr>
        <w:rPr>
          <w:lang w:val="de-DE"/>
        </w:rPr>
      </w:pPr>
      <w:r>
        <w:rPr>
          <w:lang w:val="de-DE"/>
        </w:rPr>
        <w:t xml:space="preserve">Zudem betreffen eine </w:t>
      </w:r>
      <w:r w:rsidR="006C090E" w:rsidRPr="006C090E">
        <w:rPr>
          <w:lang w:val="de-DE"/>
        </w:rPr>
        <w:t xml:space="preserve">Fülle der verwiesenen </w:t>
      </w:r>
      <w:proofErr w:type="gramStart"/>
      <w:r w:rsidR="006C090E" w:rsidRPr="006C090E">
        <w:rPr>
          <w:lang w:val="de-DE"/>
        </w:rPr>
        <w:t>Tatbestände überhaupt</w:t>
      </w:r>
      <w:proofErr w:type="gramEnd"/>
      <w:r w:rsidR="006C090E" w:rsidRPr="006C090E">
        <w:rPr>
          <w:lang w:val="de-DE"/>
        </w:rPr>
        <w:t xml:space="preserve"> keine IED-Anlagen oder es sind Tatbestände, die nicht unter die IED fallen (z.B. § 62 Abs. 1 Nr. 4a</w:t>
      </w:r>
      <w:r w:rsidR="00D14D12">
        <w:rPr>
          <w:lang w:val="de-DE"/>
        </w:rPr>
        <w:t xml:space="preserve"> betrifft Anlagen nach Störfallrecht</w:t>
      </w:r>
      <w:r w:rsidR="006C090E" w:rsidRPr="006C090E">
        <w:rPr>
          <w:lang w:val="de-DE"/>
        </w:rPr>
        <w:t xml:space="preserve">). </w:t>
      </w:r>
    </w:p>
    <w:p w14:paraId="3691E757" w14:textId="63AD6F14" w:rsidR="00F7798B" w:rsidRDefault="00E5475C" w:rsidP="00F7798B">
      <w:pPr>
        <w:rPr>
          <w:lang w:val="de-DE"/>
        </w:rPr>
      </w:pPr>
      <w:r>
        <w:rPr>
          <w:lang w:val="de-DE"/>
        </w:rPr>
        <w:lastRenderedPageBreak/>
        <w:t>In § 62 Abs. 5 neu BImSchG</w:t>
      </w:r>
      <w:r w:rsidR="006C090E" w:rsidRPr="006C090E">
        <w:rPr>
          <w:lang w:val="de-DE"/>
        </w:rPr>
        <w:t xml:space="preserve"> ermangelt es dem Gesetzentwurf deutlich an Präzision und Bestimmtheit, die </w:t>
      </w:r>
      <w:r w:rsidR="00624F56">
        <w:rPr>
          <w:lang w:val="de-DE"/>
        </w:rPr>
        <w:t>-</w:t>
      </w:r>
      <w:r w:rsidR="006C090E" w:rsidRPr="006C090E">
        <w:rPr>
          <w:lang w:val="de-DE"/>
        </w:rPr>
        <w:t xml:space="preserve"> bei der Schwere der angedrohten finanziellen Konsequenzen und der damit einhergehenden Schwere des Grundrechtseingriffs - erhebliche Zweifel an der Verfassungsmäßigkeit der Vorschrift auslösen.</w:t>
      </w:r>
    </w:p>
    <w:p w14:paraId="0F090B97" w14:textId="23847614" w:rsidR="009E70EF" w:rsidRDefault="009E70EF" w:rsidP="00F7798B">
      <w:pPr>
        <w:rPr>
          <w:lang w:val="de-DE"/>
        </w:rPr>
      </w:pPr>
      <w:r w:rsidRPr="009E70EF">
        <w:rPr>
          <w:highlight w:val="cyan"/>
          <w:lang w:val="de-DE"/>
        </w:rPr>
        <w:t>Zudem sieht der Entwurf in § 62 Abs. Satz 3 (neu) BImSchG vor, dass der Gesamtumsatz geschätzt werden darf. Auch dies entspricht nicht der IED und ist im Übrigen unverhältnismäßig.</w:t>
      </w:r>
      <w:r w:rsidRPr="009E70EF">
        <w:rPr>
          <w:lang w:val="de-DE"/>
        </w:rPr>
        <w:t xml:space="preserve"> </w:t>
      </w:r>
    </w:p>
    <w:p w14:paraId="770755A7" w14:textId="681B6944" w:rsidR="00A22AA8" w:rsidRDefault="00A22AA8" w:rsidP="00A22AA8">
      <w:pPr>
        <w:pStyle w:val="berschrift1"/>
        <w:rPr>
          <w:lang w:val="de-DE"/>
        </w:rPr>
      </w:pPr>
      <w:bookmarkStart w:id="43" w:name="_Toc187072932"/>
      <w:r>
        <w:rPr>
          <w:lang w:val="de-DE"/>
        </w:rPr>
        <w:t>1.2</w:t>
      </w:r>
      <w:r w:rsidR="00E82F9F">
        <w:rPr>
          <w:lang w:val="de-DE"/>
        </w:rPr>
        <w:t>7</w:t>
      </w:r>
      <w:r w:rsidRPr="00091C0D">
        <w:rPr>
          <w:lang w:val="de-DE"/>
        </w:rPr>
        <w:t xml:space="preserve"> </w:t>
      </w:r>
      <w:r>
        <w:rPr>
          <w:lang w:val="de-DE"/>
        </w:rPr>
        <w:t>Übergangsvorschriften erweitern (</w:t>
      </w:r>
      <w:r w:rsidRPr="009531F7">
        <w:rPr>
          <w:lang w:val="de-DE"/>
        </w:rPr>
        <w:t>§ 6</w:t>
      </w:r>
      <w:r w:rsidR="00E20566">
        <w:rPr>
          <w:lang w:val="de-DE"/>
        </w:rPr>
        <w:t>7</w:t>
      </w:r>
      <w:r w:rsidRPr="009531F7">
        <w:rPr>
          <w:lang w:val="de-DE"/>
        </w:rPr>
        <w:t xml:space="preserve"> Absatz </w:t>
      </w:r>
      <w:r w:rsidR="00E20566">
        <w:rPr>
          <w:lang w:val="de-DE"/>
        </w:rPr>
        <w:t>10</w:t>
      </w:r>
      <w:r w:rsidRPr="009531F7">
        <w:rPr>
          <w:lang w:val="de-DE"/>
        </w:rPr>
        <w:t xml:space="preserve"> BImSchG</w:t>
      </w:r>
      <w:r>
        <w:rPr>
          <w:lang w:val="de-DE"/>
        </w:rPr>
        <w:t>)</w:t>
      </w:r>
      <w:bookmarkEnd w:id="43"/>
    </w:p>
    <w:p w14:paraId="2F44A1FE" w14:textId="6E679B8D" w:rsidR="00A22AA8" w:rsidRDefault="00A22AA8" w:rsidP="00A22AA8">
      <w:pPr>
        <w:rPr>
          <w:lang w:val="de-DE"/>
        </w:rPr>
      </w:pPr>
      <w:r w:rsidRPr="00E63EB5">
        <w:rPr>
          <w:lang w:val="de-DE"/>
        </w:rPr>
        <w:t>§ 6</w:t>
      </w:r>
      <w:r w:rsidR="00E20566">
        <w:rPr>
          <w:lang w:val="de-DE"/>
        </w:rPr>
        <w:t>7</w:t>
      </w:r>
      <w:r w:rsidRPr="00E63EB5">
        <w:rPr>
          <w:lang w:val="de-DE"/>
        </w:rPr>
        <w:t xml:space="preserve"> Abs. </w:t>
      </w:r>
      <w:r w:rsidR="00E20566">
        <w:rPr>
          <w:lang w:val="de-DE"/>
        </w:rPr>
        <w:t>10</w:t>
      </w:r>
      <w:r w:rsidRPr="00E63EB5">
        <w:rPr>
          <w:lang w:val="de-DE"/>
        </w:rPr>
        <w:t xml:space="preserve"> (neu) BImSchG</w:t>
      </w:r>
      <w:r>
        <w:rPr>
          <w:lang w:val="de-DE"/>
        </w:rPr>
        <w:t xml:space="preserve"> sollte </w:t>
      </w:r>
      <w:r w:rsidR="00EE3C53">
        <w:rPr>
          <w:lang w:val="de-DE"/>
        </w:rPr>
        <w:t xml:space="preserve">vollständigkeitshalber </w:t>
      </w:r>
      <w:r w:rsidR="00E20566">
        <w:rPr>
          <w:lang w:val="de-DE"/>
        </w:rPr>
        <w:t xml:space="preserve">erweitert werden. </w:t>
      </w:r>
    </w:p>
    <w:p w14:paraId="1232DB11" w14:textId="709F8280" w:rsidR="003F7C2E" w:rsidRDefault="002B22BE" w:rsidP="00A22AA8">
      <w:pPr>
        <w:rPr>
          <w:lang w:val="de-DE"/>
        </w:rPr>
      </w:pPr>
      <w:r>
        <w:rPr>
          <w:lang w:val="de-DE"/>
        </w:rPr>
        <w:t xml:space="preserve">Für </w:t>
      </w:r>
      <w:r w:rsidR="003F7C2E">
        <w:rPr>
          <w:lang w:val="de-DE"/>
        </w:rPr>
        <w:t>BVT-Schlussfolgerungen, die bis zu</w:t>
      </w:r>
      <w:r w:rsidR="00E234DE">
        <w:rPr>
          <w:lang w:val="de-DE"/>
        </w:rPr>
        <w:t>m</w:t>
      </w:r>
      <w:r w:rsidR="003F7C2E">
        <w:rPr>
          <w:lang w:val="de-DE"/>
        </w:rPr>
        <w:t xml:space="preserve"> Inkrafttreten der neuen IED (bis zum 1. Juli 2026) </w:t>
      </w:r>
      <w:r w:rsidR="00F76E9E">
        <w:rPr>
          <w:lang w:val="de-DE"/>
        </w:rPr>
        <w:t xml:space="preserve">verabschiedet wurden (bzw. noch werden), gilt zum Beispiel bzgl. der Festsetzung von Emissionsgrenzwerten das bisherige Recht. Dies soll § 67 Abs. 10 BImSchG neu zum Ausdruck bringen. Die Verweise in § 67 Abs. 10 auf das bestehende Recht sind jedoch nicht vollständig und sollten entsprechend ergänzt werden. </w:t>
      </w:r>
    </w:p>
    <w:p w14:paraId="5BDB91C4" w14:textId="2BAAC1EB" w:rsidR="00F76E9E" w:rsidRPr="00F31404" w:rsidRDefault="00F76E9E" w:rsidP="00A22AA8">
      <w:pPr>
        <w:rPr>
          <w:lang w:val="de-DE"/>
        </w:rPr>
      </w:pPr>
      <w:r>
        <w:rPr>
          <w:lang w:val="de-DE"/>
        </w:rPr>
        <w:t xml:space="preserve">§ 67 Abs. 10 BImSchG neu sollte </w:t>
      </w:r>
      <w:r w:rsidR="001E1DED">
        <w:rPr>
          <w:lang w:val="de-DE"/>
        </w:rPr>
        <w:t xml:space="preserve">daher </w:t>
      </w:r>
      <w:r>
        <w:rPr>
          <w:lang w:val="de-DE"/>
        </w:rPr>
        <w:t xml:space="preserve">um die Verweise auf </w:t>
      </w:r>
      <w:r w:rsidR="00CC6B3E">
        <w:rPr>
          <w:lang w:val="de-DE"/>
        </w:rPr>
        <w:t xml:space="preserve">§ 7 Abs. 1b, § 12 </w:t>
      </w:r>
      <w:r w:rsidR="008502BB">
        <w:rPr>
          <w:lang w:val="de-DE"/>
        </w:rPr>
        <w:t>Abs</w:t>
      </w:r>
      <w:r w:rsidR="00741EBB">
        <w:rPr>
          <w:lang w:val="de-DE"/>
        </w:rPr>
        <w:t>.</w:t>
      </w:r>
      <w:r w:rsidR="008502BB">
        <w:rPr>
          <w:lang w:val="de-DE"/>
        </w:rPr>
        <w:t xml:space="preserve"> 1b, </w:t>
      </w:r>
      <w:r w:rsidR="00CC6B3E">
        <w:rPr>
          <w:lang w:val="de-DE"/>
        </w:rPr>
        <w:t>§ 17 Abs.</w:t>
      </w:r>
      <w:r w:rsidR="008502BB">
        <w:rPr>
          <w:lang w:val="de-DE"/>
        </w:rPr>
        <w:t xml:space="preserve"> </w:t>
      </w:r>
      <w:r w:rsidR="00741EBB">
        <w:rPr>
          <w:lang w:val="de-DE"/>
        </w:rPr>
        <w:t xml:space="preserve">1a, 1b, </w:t>
      </w:r>
      <w:r w:rsidR="008502BB">
        <w:rPr>
          <w:lang w:val="de-DE"/>
        </w:rPr>
        <w:t>2a und 2b</w:t>
      </w:r>
      <w:r w:rsidR="00741EBB">
        <w:rPr>
          <w:lang w:val="de-DE"/>
        </w:rPr>
        <w:t xml:space="preserve">, § 48 </w:t>
      </w:r>
      <w:r w:rsidR="002B6AF2">
        <w:rPr>
          <w:lang w:val="de-DE"/>
        </w:rPr>
        <w:t>Abs. 1b BImSchG (geltende Fassung)</w:t>
      </w:r>
      <w:r w:rsidR="001E1DED">
        <w:rPr>
          <w:lang w:val="de-DE"/>
        </w:rPr>
        <w:t xml:space="preserve"> ergänzt werden.</w:t>
      </w:r>
    </w:p>
    <w:p w14:paraId="1664B2CC" w14:textId="313A1FD2" w:rsidR="00F7798B" w:rsidRDefault="005A3FBD" w:rsidP="00F7798B">
      <w:pPr>
        <w:pStyle w:val="berschrift1"/>
        <w:rPr>
          <w:lang w:val="de-DE"/>
        </w:rPr>
      </w:pPr>
      <w:bookmarkStart w:id="44" w:name="_Toc187072933"/>
      <w:r>
        <w:rPr>
          <w:lang w:val="de-DE"/>
        </w:rPr>
        <w:t>1</w:t>
      </w:r>
      <w:r w:rsidR="00F7798B">
        <w:rPr>
          <w:lang w:val="de-DE"/>
        </w:rPr>
        <w:t>.</w:t>
      </w:r>
      <w:r>
        <w:rPr>
          <w:lang w:val="de-DE"/>
        </w:rPr>
        <w:t>2</w:t>
      </w:r>
      <w:r w:rsidR="00E82F9F">
        <w:rPr>
          <w:lang w:val="de-DE"/>
        </w:rPr>
        <w:t>8</w:t>
      </w:r>
      <w:r w:rsidR="00F7798B" w:rsidRPr="00091C0D">
        <w:rPr>
          <w:lang w:val="de-DE"/>
        </w:rPr>
        <w:t xml:space="preserve"> </w:t>
      </w:r>
      <w:r w:rsidR="0092607C">
        <w:rPr>
          <w:lang w:val="de-DE"/>
        </w:rPr>
        <w:t>Anlage 2</w:t>
      </w:r>
      <w:bookmarkEnd w:id="44"/>
      <w:r w:rsidR="00F7798B" w:rsidRPr="003C73B0">
        <w:rPr>
          <w:lang w:val="de-DE"/>
        </w:rPr>
        <w:t xml:space="preserve"> </w:t>
      </w:r>
    </w:p>
    <w:p w14:paraId="5F3D0464" w14:textId="05659204" w:rsidR="0092607C" w:rsidRDefault="0092607C" w:rsidP="00F7798B">
      <w:pPr>
        <w:spacing w:after="160"/>
        <w:jc w:val="left"/>
        <w:rPr>
          <w:lang w:val="de-DE" w:bidi="en-US"/>
        </w:rPr>
      </w:pPr>
      <w:r w:rsidRPr="0092607C">
        <w:rPr>
          <w:lang w:val="de-DE" w:bidi="en-US"/>
        </w:rPr>
        <w:t>Anlage 2 muss ergänzt werden um eine Regelung</w:t>
      </w:r>
      <w:r w:rsidR="00A969E0">
        <w:rPr>
          <w:lang w:val="de-DE" w:bidi="en-US"/>
        </w:rPr>
        <w:t>,</w:t>
      </w:r>
      <w:r w:rsidRPr="0092607C">
        <w:rPr>
          <w:lang w:val="de-DE" w:bidi="en-US"/>
        </w:rPr>
        <w:t xml:space="preserve"> die den Aufwand für das Abweichungs-Gutachten </w:t>
      </w:r>
      <w:r w:rsidRPr="005A0BDC">
        <w:rPr>
          <w:lang w:val="de-DE" w:bidi="en-US"/>
        </w:rPr>
        <w:t>begrenzt.</w:t>
      </w:r>
    </w:p>
    <w:p w14:paraId="3F87A4EA" w14:textId="77777777" w:rsidR="00F06550" w:rsidRDefault="00F06550" w:rsidP="00F7798B">
      <w:pPr>
        <w:spacing w:after="160"/>
        <w:jc w:val="left"/>
        <w:rPr>
          <w:lang w:val="de-DE" w:bidi="en-US"/>
        </w:rPr>
      </w:pPr>
    </w:p>
    <w:p w14:paraId="798C0083" w14:textId="77777777" w:rsidR="00F06550" w:rsidRPr="005A0BDC" w:rsidRDefault="00F06550" w:rsidP="00F7798B">
      <w:pPr>
        <w:spacing w:after="160"/>
        <w:jc w:val="left"/>
        <w:rPr>
          <w:lang w:val="de-DE" w:bidi="en-US"/>
        </w:rPr>
      </w:pPr>
    </w:p>
    <w:p w14:paraId="602D6031" w14:textId="09012F51" w:rsidR="0097708E" w:rsidRPr="00EA533F" w:rsidRDefault="0042278E" w:rsidP="0042278E">
      <w:pPr>
        <w:pStyle w:val="berschrift1"/>
        <w:numPr>
          <w:ilvl w:val="0"/>
          <w:numId w:val="6"/>
        </w:numPr>
        <w:rPr>
          <w:lang w:val="de-DE"/>
        </w:rPr>
      </w:pPr>
      <w:bookmarkStart w:id="45" w:name="_Toc187072934"/>
      <w:r w:rsidRPr="005A0BDC">
        <w:rPr>
          <w:lang w:val="de-DE"/>
        </w:rPr>
        <w:t>Kreislaufwirtschaftsgesetz</w:t>
      </w:r>
      <w:bookmarkEnd w:id="45"/>
      <w:r w:rsidRPr="005A0BDC">
        <w:rPr>
          <w:lang w:val="de-DE"/>
        </w:rPr>
        <w:t xml:space="preserve"> </w:t>
      </w:r>
    </w:p>
    <w:p w14:paraId="586AD327" w14:textId="499EAF7A" w:rsidR="00EA533F" w:rsidRDefault="00EA533F" w:rsidP="00EA533F">
      <w:pPr>
        <w:pStyle w:val="berschrift1"/>
        <w:rPr>
          <w:lang w:val="de-DE"/>
        </w:rPr>
      </w:pPr>
      <w:bookmarkStart w:id="46" w:name="_Toc187072935"/>
      <w:r w:rsidRPr="005A0BDC">
        <w:rPr>
          <w:lang w:val="de-DE"/>
        </w:rPr>
        <w:t>2.</w:t>
      </w:r>
      <w:r w:rsidR="001142D8">
        <w:rPr>
          <w:lang w:val="de-DE"/>
        </w:rPr>
        <w:t>1</w:t>
      </w:r>
      <w:r w:rsidRPr="005A0BDC">
        <w:rPr>
          <w:lang w:val="de-DE"/>
        </w:rPr>
        <w:t xml:space="preserve"> IED-Pflichten nur für IED-Deponien (§§ 36, 42, 43 Abs. 1 KrWG)</w:t>
      </w:r>
      <w:bookmarkEnd w:id="46"/>
      <w:r w:rsidRPr="005A0BDC">
        <w:rPr>
          <w:lang w:val="de-DE"/>
        </w:rPr>
        <w:t xml:space="preserve"> </w:t>
      </w:r>
    </w:p>
    <w:p w14:paraId="2E6C73F2" w14:textId="66F53EF2" w:rsidR="00D24B8E" w:rsidRPr="005A0BDC" w:rsidRDefault="00685B66" w:rsidP="00D24B8E">
      <w:pPr>
        <w:rPr>
          <w:lang w:val="de-DE"/>
        </w:rPr>
      </w:pPr>
      <w:r w:rsidRPr="005A0BDC">
        <w:rPr>
          <w:lang w:val="de-DE"/>
        </w:rPr>
        <w:t xml:space="preserve">Im Kreislaufwirtschaftsgesetz </w:t>
      </w:r>
      <w:r w:rsidR="00065795">
        <w:rPr>
          <w:lang w:val="de-DE"/>
        </w:rPr>
        <w:t xml:space="preserve">(KrWG) </w:t>
      </w:r>
      <w:r w:rsidRPr="005A0BDC">
        <w:rPr>
          <w:lang w:val="de-DE"/>
        </w:rPr>
        <w:t xml:space="preserve">sollten die Regelungen </w:t>
      </w:r>
      <w:r w:rsidR="0057540D" w:rsidRPr="005A0BDC">
        <w:rPr>
          <w:lang w:val="de-DE"/>
        </w:rPr>
        <w:t>der IED-Richtlinie nur für Deponien eingeführt werden, die der IED unterliegen</w:t>
      </w:r>
      <w:r w:rsidR="00611FF6" w:rsidRPr="005A0BDC">
        <w:rPr>
          <w:lang w:val="de-DE"/>
        </w:rPr>
        <w:t xml:space="preserve"> und nicht für alle Deponien</w:t>
      </w:r>
      <w:r w:rsidR="00D022BF">
        <w:rPr>
          <w:lang w:val="de-DE"/>
        </w:rPr>
        <w:t xml:space="preserve">. Im aktuellen Vorschlag wird </w:t>
      </w:r>
      <w:r w:rsidR="00D24B8E" w:rsidRPr="005A0BDC">
        <w:rPr>
          <w:lang w:val="de-DE"/>
        </w:rPr>
        <w:t xml:space="preserve">über eine </w:t>
      </w:r>
      <w:r w:rsidR="00D24B8E" w:rsidRPr="00D022BF">
        <w:rPr>
          <w:b/>
          <w:bCs/>
          <w:lang w:val="de-DE"/>
        </w:rPr>
        <w:t>1:1-Umsetzung</w:t>
      </w:r>
      <w:r w:rsidR="00D24B8E" w:rsidRPr="005A0BDC">
        <w:rPr>
          <w:lang w:val="de-DE"/>
        </w:rPr>
        <w:t xml:space="preserve"> der IED hinausge</w:t>
      </w:r>
      <w:r w:rsidR="00D022BF">
        <w:rPr>
          <w:lang w:val="de-DE"/>
        </w:rPr>
        <w:t>gangen</w:t>
      </w:r>
      <w:r w:rsidR="00D24B8E" w:rsidRPr="005A0BDC">
        <w:rPr>
          <w:lang w:val="de-DE"/>
        </w:rPr>
        <w:t>.</w:t>
      </w:r>
    </w:p>
    <w:p w14:paraId="4E6EBDD7" w14:textId="77777777" w:rsidR="00611FF6" w:rsidRPr="005A0BDC" w:rsidRDefault="00611FF6" w:rsidP="00611FF6">
      <w:pPr>
        <w:rPr>
          <w:lang w:val="de-DE"/>
        </w:rPr>
      </w:pPr>
      <w:r w:rsidRPr="005A0BDC">
        <w:rPr>
          <w:lang w:val="de-DE"/>
        </w:rPr>
        <w:t xml:space="preserve">Nach dem insofern unveränderten Anhang I Nr.  5.4 IED unterliegen nur folgende Deponien der IED: </w:t>
      </w:r>
    </w:p>
    <w:p w14:paraId="0975BFE5" w14:textId="77777777" w:rsidR="00611FF6" w:rsidRPr="005A0BDC" w:rsidRDefault="00611FF6" w:rsidP="00611FF6">
      <w:pPr>
        <w:rPr>
          <w:i/>
          <w:iCs/>
          <w:lang w:val="de-DE"/>
        </w:rPr>
      </w:pPr>
      <w:r w:rsidRPr="005A0BDC">
        <w:rPr>
          <w:i/>
          <w:iCs/>
          <w:lang w:val="de-DE"/>
        </w:rPr>
        <w:t xml:space="preserve">„Deponien…mit einer Aufnahmekapazität von über 10t Abfall pro Tag oder einer Gesamtkapazität von über 25.000 t, mit Ausnahme der Deponien für </w:t>
      </w:r>
      <w:proofErr w:type="spellStart"/>
      <w:r w:rsidRPr="005A0BDC">
        <w:rPr>
          <w:i/>
          <w:iCs/>
          <w:lang w:val="de-DE"/>
        </w:rPr>
        <w:t>Inertabfälle</w:t>
      </w:r>
      <w:proofErr w:type="spellEnd"/>
      <w:r w:rsidRPr="005A0BDC">
        <w:rPr>
          <w:i/>
          <w:iCs/>
          <w:lang w:val="de-DE"/>
        </w:rPr>
        <w:t>.“</w:t>
      </w:r>
    </w:p>
    <w:p w14:paraId="7904F66D" w14:textId="01B3688E" w:rsidR="00611FF6" w:rsidRPr="005A0BDC" w:rsidRDefault="003553A0" w:rsidP="00D24B8E">
      <w:pPr>
        <w:rPr>
          <w:lang w:val="de-DE"/>
        </w:rPr>
      </w:pPr>
      <w:r w:rsidRPr="005A0BDC">
        <w:rPr>
          <w:lang w:val="de-DE"/>
        </w:rPr>
        <w:t>Nur für diese Deponien sind die IED-Vorgaben einzuführen.</w:t>
      </w:r>
    </w:p>
    <w:p w14:paraId="6131A6CC" w14:textId="049F9AA5" w:rsidR="003553A0" w:rsidRPr="005A0BDC" w:rsidRDefault="003553A0" w:rsidP="00D24B8E">
      <w:pPr>
        <w:rPr>
          <w:lang w:val="de-DE"/>
        </w:rPr>
      </w:pPr>
      <w:r w:rsidRPr="005A0BDC">
        <w:rPr>
          <w:lang w:val="de-DE"/>
        </w:rPr>
        <w:t>Entsprechend sollten folgende Änderungen im KrWG vorgenommen werden:</w:t>
      </w:r>
    </w:p>
    <w:p w14:paraId="38CED135" w14:textId="060B4797" w:rsidR="0042278E" w:rsidRPr="005A0BDC" w:rsidRDefault="0042278E" w:rsidP="00611FF6">
      <w:pPr>
        <w:pStyle w:val="Listenabsatz"/>
        <w:numPr>
          <w:ilvl w:val="0"/>
          <w:numId w:val="9"/>
        </w:numPr>
        <w:rPr>
          <w:lang w:val="de-DE"/>
        </w:rPr>
      </w:pPr>
      <w:r w:rsidRPr="005A0BDC">
        <w:rPr>
          <w:lang w:val="de-DE"/>
        </w:rPr>
        <w:lastRenderedPageBreak/>
        <w:t xml:space="preserve">Die Ergänzung der Betreiberpflichten in § 36 Abs. 1 Nr. </w:t>
      </w:r>
      <w:r w:rsidR="00AD0517" w:rsidRPr="005A0BDC">
        <w:rPr>
          <w:lang w:val="de-DE"/>
        </w:rPr>
        <w:t xml:space="preserve">1 </w:t>
      </w:r>
      <w:r w:rsidRPr="005A0BDC">
        <w:rPr>
          <w:lang w:val="de-DE"/>
        </w:rPr>
        <w:t xml:space="preserve">Buchst. c) und im neuen Buchst. d) </w:t>
      </w:r>
      <w:r w:rsidR="00BC2765" w:rsidRPr="005A0BDC">
        <w:rPr>
          <w:lang w:val="de-DE"/>
        </w:rPr>
        <w:t>sollte</w:t>
      </w:r>
      <w:r w:rsidR="00153E48" w:rsidRPr="005A0BDC">
        <w:rPr>
          <w:lang w:val="de-DE"/>
        </w:rPr>
        <w:t xml:space="preserve"> </w:t>
      </w:r>
      <w:r w:rsidRPr="005A0BDC">
        <w:rPr>
          <w:lang w:val="de-DE"/>
        </w:rPr>
        <w:t>nicht auf alle zulassungspfl</w:t>
      </w:r>
      <w:r w:rsidR="005A0BDC">
        <w:rPr>
          <w:lang w:val="de-DE"/>
        </w:rPr>
        <w:t>i</w:t>
      </w:r>
      <w:r w:rsidRPr="005A0BDC">
        <w:rPr>
          <w:lang w:val="de-DE"/>
        </w:rPr>
        <w:t>chtige</w:t>
      </w:r>
      <w:r w:rsidR="00AD0517" w:rsidRPr="005A0BDC">
        <w:rPr>
          <w:lang w:val="de-DE"/>
        </w:rPr>
        <w:t>n</w:t>
      </w:r>
      <w:r w:rsidRPr="005A0BDC">
        <w:rPr>
          <w:lang w:val="de-DE"/>
        </w:rPr>
        <w:t xml:space="preserve"> Deponien, sondern nur auf die Deponien zu bez</w:t>
      </w:r>
      <w:r w:rsidR="00153E48" w:rsidRPr="005A0BDC">
        <w:rPr>
          <w:lang w:val="de-DE"/>
        </w:rPr>
        <w:t>ogen werden</w:t>
      </w:r>
      <w:r w:rsidRPr="005A0BDC">
        <w:rPr>
          <w:lang w:val="de-DE"/>
        </w:rPr>
        <w:t xml:space="preserve">, die unter die IED fallen. Dies </w:t>
      </w:r>
      <w:r w:rsidR="00153E48" w:rsidRPr="005A0BDC">
        <w:rPr>
          <w:lang w:val="de-DE"/>
        </w:rPr>
        <w:t>entspricht einer</w:t>
      </w:r>
      <w:r w:rsidRPr="005A0BDC">
        <w:rPr>
          <w:lang w:val="de-DE"/>
        </w:rPr>
        <w:t xml:space="preserve"> 1:1 Umsetzung der neuen IED. </w:t>
      </w:r>
    </w:p>
    <w:p w14:paraId="1880D938" w14:textId="2DECA0C7" w:rsidR="009C37F7" w:rsidRPr="005A0BDC" w:rsidRDefault="00C939B6" w:rsidP="00C939B6">
      <w:pPr>
        <w:pStyle w:val="Listenabsatz"/>
        <w:numPr>
          <w:ilvl w:val="0"/>
          <w:numId w:val="9"/>
        </w:numPr>
        <w:rPr>
          <w:lang w:val="de-DE"/>
        </w:rPr>
      </w:pPr>
      <w:r w:rsidRPr="005A0BDC">
        <w:rPr>
          <w:lang w:val="de-DE"/>
        </w:rPr>
        <w:t xml:space="preserve">Die neuen Veröffentlichungs- und Bekanntmachungsfristen in § 42 KrWG sollten ebenfalls nur für IED-Deponien gelten. </w:t>
      </w:r>
    </w:p>
    <w:p w14:paraId="28C9B829" w14:textId="748365DD" w:rsidR="00950EFF" w:rsidRPr="00950EFF" w:rsidRDefault="0042278E" w:rsidP="00950EFF">
      <w:pPr>
        <w:pStyle w:val="Listenabsatz"/>
        <w:numPr>
          <w:ilvl w:val="0"/>
          <w:numId w:val="9"/>
        </w:numPr>
        <w:rPr>
          <w:lang w:val="de-DE"/>
        </w:rPr>
      </w:pPr>
      <w:r w:rsidRPr="005A0BDC">
        <w:rPr>
          <w:lang w:val="de-DE"/>
        </w:rPr>
        <w:t xml:space="preserve">Entsprechend </w:t>
      </w:r>
      <w:r w:rsidR="00153E48" w:rsidRPr="005A0BDC">
        <w:rPr>
          <w:lang w:val="de-DE"/>
        </w:rPr>
        <w:t xml:space="preserve">sollte </w:t>
      </w:r>
      <w:r w:rsidRPr="005A0BDC">
        <w:rPr>
          <w:lang w:val="de-DE"/>
        </w:rPr>
        <w:t xml:space="preserve">auch die Verordnungsermächtigung des § 43 Abs. 1 </w:t>
      </w:r>
      <w:r w:rsidR="00AB63B9" w:rsidRPr="005A0BDC">
        <w:rPr>
          <w:lang w:val="de-DE"/>
        </w:rPr>
        <w:t>Nr. 4a und Nr. 4 b KrWG angepasst</w:t>
      </w:r>
      <w:r w:rsidRPr="005A0BDC">
        <w:rPr>
          <w:lang w:val="de-DE"/>
        </w:rPr>
        <w:t xml:space="preserve"> und beschränk</w:t>
      </w:r>
      <w:r w:rsidR="00AB63B9" w:rsidRPr="005A0BDC">
        <w:rPr>
          <w:lang w:val="de-DE"/>
        </w:rPr>
        <w:t>t werden</w:t>
      </w:r>
      <w:r w:rsidRPr="005A0BDC">
        <w:rPr>
          <w:lang w:val="de-DE"/>
        </w:rPr>
        <w:t xml:space="preserve">. </w:t>
      </w:r>
    </w:p>
    <w:p w14:paraId="512F9090" w14:textId="1BE7E42C" w:rsidR="00950EFF" w:rsidRPr="00950EFF" w:rsidRDefault="00950EFF" w:rsidP="00950EFF">
      <w:pPr>
        <w:pStyle w:val="berschrift1"/>
        <w:rPr>
          <w:b w:val="0"/>
          <w:bCs/>
          <w:highlight w:val="cyan"/>
          <w:lang w:val="de-DE"/>
        </w:rPr>
      </w:pPr>
      <w:bookmarkStart w:id="47" w:name="_Toc187072936"/>
      <w:r w:rsidRPr="006F078D">
        <w:rPr>
          <w:highlight w:val="cyan"/>
          <w:lang w:val="de-DE"/>
        </w:rPr>
        <w:t>2.</w:t>
      </w:r>
      <w:r w:rsidR="001142D8">
        <w:rPr>
          <w:highlight w:val="cyan"/>
          <w:lang w:val="de-DE"/>
        </w:rPr>
        <w:t>2</w:t>
      </w:r>
      <w:r w:rsidRPr="00950EFF">
        <w:rPr>
          <w:highlight w:val="cyan"/>
          <w:lang w:val="de-DE"/>
        </w:rPr>
        <w:t xml:space="preserve"> Klarstellung hinsichtlich bereits stillgelegter Deponien (§ 40 KrWG)</w:t>
      </w:r>
      <w:bookmarkStart w:id="48" w:name="_Hlk185768782"/>
      <w:bookmarkEnd w:id="47"/>
    </w:p>
    <w:bookmarkEnd w:id="48"/>
    <w:p w14:paraId="5A28B44B" w14:textId="77777777" w:rsidR="00832DD0" w:rsidRPr="00832DD0" w:rsidRDefault="00832DD0" w:rsidP="00832DD0">
      <w:pPr>
        <w:rPr>
          <w:highlight w:val="cyan"/>
          <w:lang w:val="de-DE"/>
        </w:rPr>
      </w:pPr>
      <w:r w:rsidRPr="00832DD0">
        <w:rPr>
          <w:highlight w:val="cyan"/>
          <w:lang w:val="de-DE"/>
        </w:rPr>
        <w:t xml:space="preserve">Es muss an geeigneter Stelle, z.B. in § 40 KrWG gesetzlich festgelegt werden, dass Anforderungen aus der IED nicht gelten für Deponien, die vor dem Inkrafttreten der IED alt (Richtlinie 75/2010/EU) bereits nach nationalem Recht stillgelegt waren. </w:t>
      </w:r>
    </w:p>
    <w:p w14:paraId="7CE84F9A" w14:textId="4750086D" w:rsidR="00832DD0" w:rsidRPr="00832DD0" w:rsidRDefault="00832DD0" w:rsidP="00832DD0">
      <w:pPr>
        <w:rPr>
          <w:lang w:val="de-DE"/>
        </w:rPr>
      </w:pPr>
      <w:r w:rsidRPr="00832DD0">
        <w:rPr>
          <w:highlight w:val="cyan"/>
          <w:lang w:val="de-DE"/>
        </w:rPr>
        <w:t>Das Rechtsregime der IED entfaltet keine Rückwirkung auf Altanlagen, die vor dem Inkrafttreten der IED (alt) bereits nach nationalem Recht stillgelegt wurden. Insofern können auch keine neuen BVT-Schlussfolgerungen auf solche uralt Deponien Anwendung finden. Vergleiche hierzu auch die Bestandsschutzregelung des § 26 DepV.</w:t>
      </w:r>
    </w:p>
    <w:p w14:paraId="305562C2" w14:textId="05F0CBD2" w:rsidR="006F078D" w:rsidRPr="006F078D" w:rsidRDefault="006F078D" w:rsidP="006F078D">
      <w:pPr>
        <w:pStyle w:val="berschrift1"/>
        <w:rPr>
          <w:b w:val="0"/>
          <w:bCs/>
          <w:highlight w:val="cyan"/>
          <w:lang w:val="de-DE"/>
        </w:rPr>
      </w:pPr>
      <w:bookmarkStart w:id="49" w:name="_Hlk185768747"/>
      <w:bookmarkStart w:id="50" w:name="_Toc187072937"/>
      <w:r w:rsidRPr="006F078D">
        <w:rPr>
          <w:highlight w:val="cyan"/>
          <w:lang w:val="de-DE"/>
        </w:rPr>
        <w:t>2.</w:t>
      </w:r>
      <w:r w:rsidR="001142D8">
        <w:rPr>
          <w:highlight w:val="cyan"/>
          <w:lang w:val="de-DE"/>
        </w:rPr>
        <w:t>3</w:t>
      </w:r>
      <w:r w:rsidRPr="006F078D">
        <w:rPr>
          <w:highlight w:val="cyan"/>
          <w:lang w:val="de-DE"/>
        </w:rPr>
        <w:t xml:space="preserve"> Änderung der Rechtsverordnung innerhalb eines Jahres (§ 43 Abs. 1a </w:t>
      </w:r>
      <w:bookmarkEnd w:id="49"/>
      <w:r w:rsidRPr="006F078D">
        <w:rPr>
          <w:highlight w:val="cyan"/>
          <w:lang w:val="de-DE"/>
        </w:rPr>
        <w:t>KrWG)</w:t>
      </w:r>
      <w:bookmarkEnd w:id="50"/>
    </w:p>
    <w:p w14:paraId="56BA7D9F" w14:textId="77777777" w:rsidR="006F078D" w:rsidRPr="009774C9" w:rsidRDefault="006F078D" w:rsidP="006F078D">
      <w:pPr>
        <w:spacing w:after="160"/>
        <w:jc w:val="left"/>
        <w:rPr>
          <w:highlight w:val="cyan"/>
          <w:lang w:val="de-DE"/>
        </w:rPr>
      </w:pPr>
      <w:r w:rsidRPr="009774C9">
        <w:rPr>
          <w:highlight w:val="cyan"/>
          <w:lang w:val="de-DE"/>
        </w:rPr>
        <w:t xml:space="preserve">Nach § 43 Abs. 1a Satz 2 Nr. 1 (neu) KrWG sollen bei bestehenden Deponien innerhalb von zwei Jahren eine gegebenenfalls erforderliche Anpassung der Rechtsverordnung erfolgen. </w:t>
      </w:r>
    </w:p>
    <w:p w14:paraId="1DB27D95" w14:textId="71F3390B" w:rsidR="006F078D" w:rsidRPr="006F078D" w:rsidRDefault="006F078D" w:rsidP="006F078D">
      <w:pPr>
        <w:spacing w:after="160"/>
        <w:jc w:val="left"/>
        <w:rPr>
          <w:lang w:val="de-DE"/>
        </w:rPr>
      </w:pPr>
      <w:r w:rsidRPr="009774C9">
        <w:rPr>
          <w:highlight w:val="cyan"/>
          <w:lang w:val="de-DE"/>
        </w:rPr>
        <w:t xml:space="preserve">Diese Frist sollte – wie im BImSchG § 7 Abs. 1a Satz Nr. 1 – </w:t>
      </w:r>
      <w:r w:rsidRPr="009774C9">
        <w:rPr>
          <w:b/>
          <w:bCs/>
          <w:highlight w:val="cyan"/>
          <w:lang w:val="de-DE"/>
        </w:rPr>
        <w:t>auf ein Jahr verkürzt</w:t>
      </w:r>
      <w:r w:rsidRPr="009774C9">
        <w:rPr>
          <w:highlight w:val="cyan"/>
          <w:lang w:val="de-DE"/>
        </w:rPr>
        <w:t xml:space="preserve"> werden. Denn nur bei einer solchen kürzeren Frist ist es für die Anlagenbetreiber zumutbar möglich ihre Deponie an ggfls</w:t>
      </w:r>
      <w:r w:rsidRPr="006F078D">
        <w:rPr>
          <w:highlight w:val="cyan"/>
          <w:lang w:val="de-DE"/>
        </w:rPr>
        <w:t>.</w:t>
      </w:r>
      <w:r w:rsidRPr="009774C9">
        <w:rPr>
          <w:highlight w:val="cyan"/>
          <w:lang w:val="de-DE"/>
        </w:rPr>
        <w:t xml:space="preserve"> neue Emissionsgrenzwerte und verbindliche Spannen für Umweltleistungen anzupassen.</w:t>
      </w:r>
    </w:p>
    <w:p w14:paraId="1633AC15" w14:textId="6CBCFBED" w:rsidR="000F1F57" w:rsidRPr="00D7228F" w:rsidRDefault="000F1F57" w:rsidP="000F1F57">
      <w:pPr>
        <w:pStyle w:val="berschrift1"/>
        <w:rPr>
          <w:b w:val="0"/>
          <w:bCs/>
          <w:lang w:val="de-DE"/>
        </w:rPr>
      </w:pPr>
      <w:bookmarkStart w:id="51" w:name="_Toc187072938"/>
      <w:r w:rsidRPr="00D7228F">
        <w:rPr>
          <w:lang w:val="de-DE"/>
        </w:rPr>
        <w:t>2.</w:t>
      </w:r>
      <w:r w:rsidR="001142D8">
        <w:rPr>
          <w:lang w:val="de-DE"/>
        </w:rPr>
        <w:t>4</w:t>
      </w:r>
      <w:r w:rsidRPr="00D7228F">
        <w:rPr>
          <w:lang w:val="de-DE"/>
        </w:rPr>
        <w:t xml:space="preserve"> Ausnahmekatalog vervollständigen: Aufnahme des geografischen Standortes und der lokalen Umweltbedingungen (§ 43 KrWG)</w:t>
      </w:r>
      <w:bookmarkEnd w:id="51"/>
    </w:p>
    <w:p w14:paraId="575D57F3" w14:textId="41339726" w:rsidR="000F1F57" w:rsidRPr="00D7228F" w:rsidRDefault="000F1F57" w:rsidP="000F1F57">
      <w:pPr>
        <w:spacing w:after="160"/>
        <w:jc w:val="left"/>
        <w:rPr>
          <w:lang w:val="de-DE"/>
        </w:rPr>
      </w:pPr>
      <w:r w:rsidRPr="00D7228F">
        <w:rPr>
          <w:lang w:val="de-DE"/>
        </w:rPr>
        <w:t xml:space="preserve">Wie im BImSchG </w:t>
      </w:r>
      <w:r w:rsidR="00226063" w:rsidRPr="00D7228F">
        <w:rPr>
          <w:lang w:val="de-DE"/>
        </w:rPr>
        <w:t>sollte</w:t>
      </w:r>
      <w:r w:rsidRPr="00D7228F">
        <w:rPr>
          <w:lang w:val="de-DE"/>
        </w:rPr>
        <w:t xml:space="preserve"> auch im </w:t>
      </w:r>
      <w:proofErr w:type="gramStart"/>
      <w:r w:rsidRPr="00D7228F">
        <w:rPr>
          <w:lang w:val="de-DE"/>
        </w:rPr>
        <w:t>KrWG</w:t>
      </w:r>
      <w:proofErr w:type="gramEnd"/>
      <w:r w:rsidRPr="00D7228F">
        <w:rPr>
          <w:lang w:val="de-DE"/>
        </w:rPr>
        <w:t xml:space="preserve"> das in der IED vorgesehene Kriterium des geografischen Standortes und der lokalen Umweltbedingungen ergänzt werden. Dies ist für eine 1:1-Umsetzung der Richtlinie erforderlich.</w:t>
      </w:r>
    </w:p>
    <w:p w14:paraId="3303F991" w14:textId="77777777" w:rsidR="000F1F57" w:rsidRPr="00D7228F" w:rsidRDefault="000F1F57" w:rsidP="000F1F57">
      <w:pPr>
        <w:spacing w:after="160"/>
        <w:jc w:val="left"/>
        <w:rPr>
          <w:lang w:val="de-DE"/>
        </w:rPr>
      </w:pPr>
      <w:r w:rsidRPr="00D7228F">
        <w:rPr>
          <w:lang w:val="de-DE"/>
        </w:rPr>
        <w:t xml:space="preserve">§ 43 Abs. 1d) KrWG setzt das in Art. 15 Abs. 5 und 6 IED vorgesehene Ausnahmeverfahren für die Festlegung von verbindlichen Emissionsgrenzwerten bzw. von verbindlichen Spannen für Umweltleistungen und Umweltleistungsgrenzwerten um. Die Ergänzung der Kriterien „geographischer Standort“ und „lokale Umweltbedingungen“ fehlt bisher in § 43 Abs. 1d) Nr. 1 und Nr. 2 KrWG. </w:t>
      </w:r>
    </w:p>
    <w:p w14:paraId="40B10E2E" w14:textId="331F6DD8" w:rsidR="009774C9" w:rsidRDefault="000F1F57" w:rsidP="000F1F57">
      <w:pPr>
        <w:spacing w:after="160"/>
        <w:jc w:val="left"/>
        <w:rPr>
          <w:lang w:val="de-DE"/>
        </w:rPr>
      </w:pPr>
      <w:r w:rsidRPr="00D7228F">
        <w:rPr>
          <w:lang w:val="de-DE"/>
        </w:rPr>
        <w:t xml:space="preserve">Es ist davon auszugehen, dass zukünftig erheblich strengere Emissionsgrenzwerte in den IED-Anlagen einzuhalten sind. </w:t>
      </w:r>
      <w:r w:rsidR="00186EB7" w:rsidRPr="00D7228F">
        <w:rPr>
          <w:lang w:val="de-DE"/>
        </w:rPr>
        <w:t xml:space="preserve">Es ist nicht </w:t>
      </w:r>
      <w:r w:rsidRPr="00D7228F">
        <w:rPr>
          <w:lang w:val="de-DE"/>
        </w:rPr>
        <w:t xml:space="preserve">absehbar, </w:t>
      </w:r>
      <w:r w:rsidR="00186EB7" w:rsidRPr="00D7228F">
        <w:rPr>
          <w:lang w:val="de-DE"/>
        </w:rPr>
        <w:t>ob die</w:t>
      </w:r>
      <w:r w:rsidRPr="00D7228F">
        <w:rPr>
          <w:lang w:val="de-DE"/>
        </w:rPr>
        <w:t xml:space="preserve"> IED-</w:t>
      </w:r>
      <w:r w:rsidR="00186EB7" w:rsidRPr="00D7228F">
        <w:rPr>
          <w:lang w:val="de-DE"/>
        </w:rPr>
        <w:t>Deponien</w:t>
      </w:r>
      <w:r w:rsidRPr="00D7228F">
        <w:rPr>
          <w:lang w:val="de-DE"/>
        </w:rPr>
        <w:t xml:space="preserve"> </w:t>
      </w:r>
      <w:r w:rsidR="00972AEE" w:rsidRPr="00D7228F">
        <w:rPr>
          <w:lang w:val="de-DE"/>
        </w:rPr>
        <w:t>in Zukunft die Emissionswerte und Umweltleistungswerte</w:t>
      </w:r>
      <w:r w:rsidRPr="00D7228F">
        <w:rPr>
          <w:lang w:val="de-DE"/>
        </w:rPr>
        <w:t xml:space="preserve"> werden einhalten können</w:t>
      </w:r>
      <w:r w:rsidR="00972AEE" w:rsidRPr="00D7228F">
        <w:rPr>
          <w:lang w:val="de-DE"/>
        </w:rPr>
        <w:t xml:space="preserve">. </w:t>
      </w:r>
      <w:r w:rsidR="00780CD8" w:rsidRPr="00D7228F">
        <w:rPr>
          <w:lang w:val="de-DE"/>
        </w:rPr>
        <w:t xml:space="preserve">Insofern könnten </w:t>
      </w:r>
      <w:r w:rsidRPr="00D7228F">
        <w:rPr>
          <w:lang w:val="de-DE"/>
        </w:rPr>
        <w:t xml:space="preserve">Ausnahmeregelungen Bedeutung </w:t>
      </w:r>
      <w:r w:rsidR="00780CD8" w:rsidRPr="00D7228F">
        <w:rPr>
          <w:lang w:val="de-DE"/>
        </w:rPr>
        <w:t>erlangen</w:t>
      </w:r>
      <w:r w:rsidRPr="00D7228F">
        <w:rPr>
          <w:lang w:val="de-DE"/>
        </w:rPr>
        <w:t xml:space="preserve">. Es sollte daher gewährleistet sein, dass auch Anlagen in Deutschland alle </w:t>
      </w:r>
      <w:r w:rsidRPr="00D7228F">
        <w:rPr>
          <w:lang w:val="de-DE"/>
        </w:rPr>
        <w:lastRenderedPageBreak/>
        <w:t>Ausnahmeregelungen nutzen können, die das europäische Recht bietet. Eine Beschränkung der Ausnahmeregelungen für deutsche IED-Anlagen würde einen Wettbewerbsnachteil gegenüber Anlagen aus anderen europäischen Ländern bedeuten.</w:t>
      </w:r>
    </w:p>
    <w:p w14:paraId="2B02894D" w14:textId="1F523844" w:rsidR="00950EFF" w:rsidRPr="00870187" w:rsidRDefault="00B272CC" w:rsidP="00B272CC">
      <w:pPr>
        <w:pStyle w:val="berschrift1"/>
        <w:ind w:firstLine="708"/>
        <w:rPr>
          <w:highlight w:val="cyan"/>
          <w:lang w:val="de-DE"/>
        </w:rPr>
      </w:pPr>
      <w:bookmarkStart w:id="52" w:name="_Toc187072939"/>
      <w:r w:rsidRPr="00870187">
        <w:rPr>
          <w:highlight w:val="cyan"/>
          <w:lang w:val="de-DE"/>
        </w:rPr>
        <w:t xml:space="preserve">3. </w:t>
      </w:r>
      <w:r w:rsidR="00220929" w:rsidRPr="00870187">
        <w:rPr>
          <w:highlight w:val="cyan"/>
          <w:lang w:val="de-DE"/>
        </w:rPr>
        <w:t>Bundesberggesetz</w:t>
      </w:r>
      <w:bookmarkEnd w:id="52"/>
    </w:p>
    <w:p w14:paraId="67AE80BF" w14:textId="18A71592" w:rsidR="001B4AB2" w:rsidRPr="00BC5F1A" w:rsidRDefault="00E21716" w:rsidP="00D326CF">
      <w:pPr>
        <w:pStyle w:val="berschrift1"/>
        <w:rPr>
          <w:highlight w:val="cyan"/>
          <w:lang w:val="de-DE"/>
        </w:rPr>
      </w:pPr>
      <w:bookmarkStart w:id="53" w:name="_Toc187072940"/>
      <w:r w:rsidRPr="00870187">
        <w:rPr>
          <w:highlight w:val="cyan"/>
          <w:lang w:val="de-DE"/>
        </w:rPr>
        <w:t xml:space="preserve">3.1 </w:t>
      </w:r>
      <w:r w:rsidR="00D326CF" w:rsidRPr="00BC5F1A">
        <w:rPr>
          <w:highlight w:val="cyan"/>
          <w:lang w:val="de-DE"/>
        </w:rPr>
        <w:t>Zulassungsverfahren</w:t>
      </w:r>
      <w:r w:rsidR="001441AA">
        <w:rPr>
          <w:highlight w:val="cyan"/>
          <w:lang w:val="de-DE"/>
        </w:rPr>
        <w:t xml:space="preserve"> – Klarstellungen zum Anwendungsbereich</w:t>
      </w:r>
      <w:r w:rsidRPr="00BC5F1A">
        <w:rPr>
          <w:highlight w:val="cyan"/>
          <w:lang w:val="de-DE"/>
        </w:rPr>
        <w:t xml:space="preserve"> </w:t>
      </w:r>
      <w:r w:rsidR="00D326CF" w:rsidRPr="00BC5F1A">
        <w:rPr>
          <w:highlight w:val="cyan"/>
          <w:lang w:val="de-DE"/>
        </w:rPr>
        <w:t>(</w:t>
      </w:r>
      <w:r w:rsidR="00642A4D" w:rsidRPr="00BC5F1A">
        <w:rPr>
          <w:highlight w:val="cyan"/>
          <w:lang w:val="de-DE"/>
        </w:rPr>
        <w:t>§ 57f Abs. 1 Satz 1 B</w:t>
      </w:r>
      <w:r w:rsidR="00D326CF" w:rsidRPr="00BC5F1A">
        <w:rPr>
          <w:highlight w:val="cyan"/>
          <w:lang w:val="de-DE"/>
        </w:rPr>
        <w:t>B</w:t>
      </w:r>
      <w:r w:rsidR="00642A4D" w:rsidRPr="00BC5F1A">
        <w:rPr>
          <w:highlight w:val="cyan"/>
          <w:lang w:val="de-DE"/>
        </w:rPr>
        <w:t>ergG</w:t>
      </w:r>
      <w:r w:rsidR="00D326CF" w:rsidRPr="00BC5F1A">
        <w:rPr>
          <w:highlight w:val="cyan"/>
          <w:lang w:val="de-DE"/>
        </w:rPr>
        <w:t>)</w:t>
      </w:r>
      <w:bookmarkEnd w:id="53"/>
    </w:p>
    <w:p w14:paraId="34050B25" w14:textId="77777777" w:rsidR="006D5914" w:rsidRPr="00BC5F1A" w:rsidRDefault="001B4AB2" w:rsidP="001B4AB2">
      <w:pPr>
        <w:pStyle w:val="Listenabsatz"/>
        <w:numPr>
          <w:ilvl w:val="0"/>
          <w:numId w:val="18"/>
        </w:numPr>
        <w:spacing w:after="160"/>
        <w:jc w:val="left"/>
        <w:rPr>
          <w:highlight w:val="cyan"/>
          <w:lang w:val="de-DE"/>
        </w:rPr>
      </w:pPr>
      <w:r w:rsidRPr="00BC5F1A">
        <w:rPr>
          <w:highlight w:val="cyan"/>
          <w:lang w:val="de-DE"/>
        </w:rPr>
        <w:t xml:space="preserve">§ 57f Abs. 1 </w:t>
      </w:r>
      <w:r w:rsidR="00D326CF" w:rsidRPr="00BC5F1A">
        <w:rPr>
          <w:highlight w:val="cyan"/>
          <w:lang w:val="de-DE"/>
        </w:rPr>
        <w:t xml:space="preserve">BBergG </w:t>
      </w:r>
      <w:r w:rsidRPr="00BC5F1A">
        <w:rPr>
          <w:highlight w:val="cyan"/>
          <w:lang w:val="de-DE"/>
        </w:rPr>
        <w:t>bezieht sich in seinen Regelungsinhalten auf die Gewinnung oder Aufbereitung von bergfreien und grundeigenen Bodenschätzen. Im Gegensatz dazu lautet der Wortlaut der IED „Gewinnung einschl</w:t>
      </w:r>
      <w:r w:rsidR="00D326CF" w:rsidRPr="00BC5F1A">
        <w:rPr>
          <w:highlight w:val="cyan"/>
          <w:lang w:val="de-DE"/>
        </w:rPr>
        <w:t>ießlich</w:t>
      </w:r>
      <w:r w:rsidRPr="00BC5F1A">
        <w:rPr>
          <w:highlight w:val="cyan"/>
          <w:lang w:val="de-DE"/>
        </w:rPr>
        <w:t xml:space="preserve"> Aufbereitung vor Ort“. Wir befürworten hier, die Formulierung der IED zu übernehmen. Diese impliziert gerade nicht, dass auch Aufbereitungsanlagen, die in keinem räumlichen Zusammenhang mit dem Bergbaubetrieb stehen, von den Regelungen der IED erfasst werden.</w:t>
      </w:r>
    </w:p>
    <w:p w14:paraId="5F7382A9" w14:textId="4EC9EFE5" w:rsidR="001B4AB2" w:rsidRPr="00BC5F1A" w:rsidRDefault="001B4AB2" w:rsidP="001B4AB2">
      <w:pPr>
        <w:pStyle w:val="Listenabsatz"/>
        <w:numPr>
          <w:ilvl w:val="0"/>
          <w:numId w:val="18"/>
        </w:numPr>
        <w:spacing w:after="160"/>
        <w:jc w:val="left"/>
        <w:rPr>
          <w:highlight w:val="cyan"/>
          <w:lang w:val="de-DE"/>
        </w:rPr>
      </w:pPr>
      <w:r w:rsidRPr="00BC5F1A">
        <w:rPr>
          <w:highlight w:val="cyan"/>
          <w:lang w:val="de-DE"/>
        </w:rPr>
        <w:t xml:space="preserve">Zudem sollte in Satz 1 eine Klarstellung erfolgen, dass sich die Regelungen des § 57f sowie daran anknüpfende Regelungen nicht auf bergbauliche Abfallentsorgungsanlagen beziehen. Diese Anlagen unterliegen nicht dem Anwendungsbereich der IED. </w:t>
      </w:r>
    </w:p>
    <w:p w14:paraId="3420FF5F" w14:textId="6734A2CC" w:rsidR="004D4EE7" w:rsidRPr="00BC5F1A" w:rsidRDefault="004D4EE7" w:rsidP="004D4EE7">
      <w:pPr>
        <w:pStyle w:val="berschrift1"/>
        <w:rPr>
          <w:highlight w:val="cyan"/>
          <w:lang w:val="de-DE"/>
        </w:rPr>
      </w:pPr>
      <w:bookmarkStart w:id="54" w:name="_Toc187072941"/>
      <w:r w:rsidRPr="00870187">
        <w:rPr>
          <w:highlight w:val="cyan"/>
          <w:lang w:val="de-DE"/>
        </w:rPr>
        <w:t>3.</w:t>
      </w:r>
      <w:r w:rsidR="007F3F10">
        <w:rPr>
          <w:highlight w:val="cyan"/>
          <w:lang w:val="de-DE"/>
        </w:rPr>
        <w:t>2</w:t>
      </w:r>
      <w:r w:rsidRPr="00870187">
        <w:rPr>
          <w:highlight w:val="cyan"/>
          <w:lang w:val="de-DE"/>
        </w:rPr>
        <w:t xml:space="preserve"> </w:t>
      </w:r>
      <w:r w:rsidR="007F3F10">
        <w:rPr>
          <w:highlight w:val="cyan"/>
          <w:lang w:val="de-DE"/>
        </w:rPr>
        <w:t>Besorgnisgrundsatz überprüfen</w:t>
      </w:r>
      <w:r w:rsidRPr="00BC5F1A">
        <w:rPr>
          <w:highlight w:val="cyan"/>
          <w:lang w:val="de-DE"/>
        </w:rPr>
        <w:t xml:space="preserve"> (§ 57f Abs. 1 </w:t>
      </w:r>
      <w:r w:rsidR="001441AA">
        <w:rPr>
          <w:highlight w:val="cyan"/>
          <w:lang w:val="de-DE"/>
        </w:rPr>
        <w:t>Nr. 2</w:t>
      </w:r>
      <w:r w:rsidRPr="00BC5F1A">
        <w:rPr>
          <w:highlight w:val="cyan"/>
          <w:lang w:val="de-DE"/>
        </w:rPr>
        <w:t xml:space="preserve"> BBergG)</w:t>
      </w:r>
      <w:bookmarkEnd w:id="54"/>
    </w:p>
    <w:p w14:paraId="0C2C3E46" w14:textId="77777777" w:rsidR="001B4AB2" w:rsidRPr="001B4AB2" w:rsidRDefault="001B4AB2" w:rsidP="001B4AB2">
      <w:pPr>
        <w:spacing w:after="160"/>
        <w:jc w:val="left"/>
        <w:rPr>
          <w:lang w:val="de-DE"/>
        </w:rPr>
      </w:pPr>
      <w:r w:rsidRPr="002361C3">
        <w:rPr>
          <w:highlight w:val="cyan"/>
          <w:lang w:val="de-DE"/>
        </w:rPr>
        <w:t>Im Referentenentwurf wird für die Wiedernutzbarmachung der Besorgnisgrundsatz als Genehmigungsvoraussetzung formuliert. Hier ist zu prüfen, ob es tatsächlich um eine 1:1 Umsetzung der IED handelt.</w:t>
      </w:r>
    </w:p>
    <w:p w14:paraId="35E86AA5" w14:textId="2E110997" w:rsidR="008E38F3" w:rsidRPr="00E3515E" w:rsidRDefault="008E38F3" w:rsidP="008E38F3">
      <w:pPr>
        <w:pStyle w:val="berschrift1"/>
        <w:rPr>
          <w:highlight w:val="cyan"/>
          <w:lang w:val="de-DE"/>
        </w:rPr>
      </w:pPr>
      <w:bookmarkStart w:id="55" w:name="_Toc187072942"/>
      <w:r w:rsidRPr="00E3515E">
        <w:rPr>
          <w:highlight w:val="cyan"/>
          <w:lang w:val="de-DE"/>
        </w:rPr>
        <w:t>3.</w:t>
      </w:r>
      <w:r w:rsidR="007F3F10">
        <w:rPr>
          <w:highlight w:val="cyan"/>
          <w:lang w:val="de-DE"/>
        </w:rPr>
        <w:t>3</w:t>
      </w:r>
      <w:r w:rsidRPr="00E3515E">
        <w:rPr>
          <w:highlight w:val="cyan"/>
          <w:lang w:val="de-DE"/>
        </w:rPr>
        <w:t xml:space="preserve"> </w:t>
      </w:r>
      <w:r w:rsidR="001810C3" w:rsidRPr="00E3515E">
        <w:rPr>
          <w:highlight w:val="cyan"/>
          <w:lang w:val="de-DE"/>
        </w:rPr>
        <w:t xml:space="preserve">Differenzierung </w:t>
      </w:r>
      <w:r w:rsidR="00E3515E" w:rsidRPr="00E3515E">
        <w:rPr>
          <w:highlight w:val="cyan"/>
          <w:lang w:val="de-DE"/>
        </w:rPr>
        <w:t>zwischen Betriebsplänen</w:t>
      </w:r>
      <w:r w:rsidRPr="00E3515E">
        <w:rPr>
          <w:highlight w:val="cyan"/>
          <w:lang w:val="de-DE"/>
        </w:rPr>
        <w:t xml:space="preserve"> (§ 57f Abs. 2 Nr. 1, 2, 3 BBergG)</w:t>
      </w:r>
      <w:bookmarkEnd w:id="55"/>
    </w:p>
    <w:p w14:paraId="728E9A50" w14:textId="11990B53" w:rsidR="001B4AB2" w:rsidRPr="00E3515E" w:rsidRDefault="001B4AB2" w:rsidP="001B4AB2">
      <w:pPr>
        <w:spacing w:after="160"/>
        <w:jc w:val="left"/>
        <w:rPr>
          <w:highlight w:val="cyan"/>
          <w:lang w:val="de-DE"/>
        </w:rPr>
      </w:pPr>
      <w:r w:rsidRPr="00E3515E">
        <w:rPr>
          <w:highlight w:val="cyan"/>
          <w:lang w:val="de-DE"/>
        </w:rPr>
        <w:t xml:space="preserve">Die Regelungen zur Konzentrationswirkung und Öffentlichkeitsbeteiligung beziehen sich undifferenziert auf alle sonstigen Arten von Betriebsplänen mit Ausnahme von Rahmenbetriebsplänen (vgl. Abs. 1). Hier ist eine Klarstellung erforderlich, dass sich die genehmigungsbezogenen Vorgaben in </w:t>
      </w:r>
      <w:r w:rsidR="001810C3" w:rsidRPr="00E3515E">
        <w:rPr>
          <w:highlight w:val="cyan"/>
          <w:lang w:val="de-DE"/>
        </w:rPr>
        <w:br/>
      </w:r>
      <w:r w:rsidRPr="00E3515E">
        <w:rPr>
          <w:highlight w:val="cyan"/>
          <w:lang w:val="de-DE"/>
        </w:rPr>
        <w:t xml:space="preserve">§ 57f </w:t>
      </w:r>
      <w:r w:rsidR="00C939EE" w:rsidRPr="00E3515E">
        <w:rPr>
          <w:highlight w:val="cyan"/>
          <w:lang w:val="de-DE"/>
        </w:rPr>
        <w:t xml:space="preserve">BBergG </w:t>
      </w:r>
      <w:r w:rsidRPr="00E3515E">
        <w:rPr>
          <w:highlight w:val="cyan"/>
          <w:lang w:val="de-DE"/>
        </w:rPr>
        <w:t>einschl</w:t>
      </w:r>
      <w:r w:rsidR="00716929" w:rsidRPr="00E3515E">
        <w:rPr>
          <w:highlight w:val="cyan"/>
          <w:lang w:val="de-DE"/>
        </w:rPr>
        <w:t>ießlich</w:t>
      </w:r>
      <w:r w:rsidRPr="00E3515E">
        <w:rPr>
          <w:highlight w:val="cyan"/>
          <w:lang w:val="de-DE"/>
        </w:rPr>
        <w:t xml:space="preserve"> der Öffentlichkeitsbeteiligung ausschließlich auf den Betriebsplan beziehen, in dessen Zulassungsverfahren die </w:t>
      </w:r>
      <w:r w:rsidR="001810C3" w:rsidRPr="00E3515E">
        <w:rPr>
          <w:highlight w:val="cyan"/>
          <w:lang w:val="de-DE"/>
        </w:rPr>
        <w:t>e</w:t>
      </w:r>
      <w:r w:rsidRPr="00E3515E">
        <w:rPr>
          <w:highlight w:val="cyan"/>
          <w:lang w:val="de-DE"/>
        </w:rPr>
        <w:t xml:space="preserve">missions- und </w:t>
      </w:r>
      <w:r w:rsidR="001810C3" w:rsidRPr="00E3515E">
        <w:rPr>
          <w:highlight w:val="cyan"/>
          <w:lang w:val="de-DE"/>
        </w:rPr>
        <w:t>u</w:t>
      </w:r>
      <w:r w:rsidRPr="00E3515E">
        <w:rPr>
          <w:highlight w:val="cyan"/>
          <w:lang w:val="de-DE"/>
        </w:rPr>
        <w:t>mweltbezogenen Voraussetzungen des Vorhabens geprüft und erstmalig geregelt werden. In der Regel sind das neben Rahmenbetriebsplänen vorhabenbezogene Sonderbetriebs- und Abschlussbetriebspläne. Die turnusmäßige Fortschreibung von Hauptbetriebsplänen sollte hiervon ausgenommen werden, ebenso die Änderung von Hauptbetriebsplänen als Folgeänderung eines vorhabenbezogenen Betriebsplanes (z. B. Rahmenbetriebsplan).</w:t>
      </w:r>
    </w:p>
    <w:p w14:paraId="63C2EA65" w14:textId="35FD5A95" w:rsidR="001B4AB2" w:rsidRPr="001B4AB2" w:rsidRDefault="001B4AB2" w:rsidP="001B4AB2">
      <w:pPr>
        <w:spacing w:after="160"/>
        <w:jc w:val="left"/>
        <w:rPr>
          <w:lang w:val="de-DE"/>
        </w:rPr>
      </w:pPr>
      <w:r w:rsidRPr="00E3515E">
        <w:rPr>
          <w:highlight w:val="cyan"/>
          <w:lang w:val="de-DE"/>
        </w:rPr>
        <w:t>Die Veröffentlichung stellt einen erheblichen administrativen Aufwand dar, insbesondere weil davon auszugehen ist, dass für jeden Plan der Schutz von Betriebs- und Geschäftsgeheimnissen sichergestellt werden muss. Dies dürfte in der Regel zu einer zweifachen Versionierung der Pläne und der Antragsunterlagen führen</w:t>
      </w:r>
      <w:r w:rsidR="00E3515E">
        <w:rPr>
          <w:lang w:val="de-DE"/>
        </w:rPr>
        <w:t>.</w:t>
      </w:r>
    </w:p>
    <w:p w14:paraId="5388C657" w14:textId="2C8B969F" w:rsidR="00E3515E" w:rsidRPr="00BC5F1A" w:rsidRDefault="00E3515E" w:rsidP="00E3515E">
      <w:pPr>
        <w:pStyle w:val="berschrift1"/>
        <w:rPr>
          <w:highlight w:val="cyan"/>
          <w:lang w:val="de-DE"/>
        </w:rPr>
      </w:pPr>
      <w:bookmarkStart w:id="56" w:name="_Toc187072943"/>
      <w:r w:rsidRPr="00870187">
        <w:rPr>
          <w:highlight w:val="cyan"/>
          <w:lang w:val="de-DE"/>
        </w:rPr>
        <w:t>3.</w:t>
      </w:r>
      <w:r w:rsidR="007F3F10">
        <w:rPr>
          <w:highlight w:val="cyan"/>
          <w:lang w:val="de-DE"/>
        </w:rPr>
        <w:t>4</w:t>
      </w:r>
      <w:r w:rsidRPr="00870187">
        <w:rPr>
          <w:highlight w:val="cyan"/>
          <w:lang w:val="de-DE"/>
        </w:rPr>
        <w:t xml:space="preserve"> </w:t>
      </w:r>
      <w:r w:rsidR="00A03D3E">
        <w:rPr>
          <w:highlight w:val="cyan"/>
          <w:lang w:val="de-DE"/>
        </w:rPr>
        <w:t>Stärkung der Digitalisierung im Verfahren</w:t>
      </w:r>
      <w:r w:rsidRPr="00BC5F1A">
        <w:rPr>
          <w:highlight w:val="cyan"/>
          <w:lang w:val="de-DE"/>
        </w:rPr>
        <w:t xml:space="preserve"> (§ 57f Abs. </w:t>
      </w:r>
      <w:r>
        <w:rPr>
          <w:highlight w:val="cyan"/>
          <w:lang w:val="de-DE"/>
        </w:rPr>
        <w:t>2</w:t>
      </w:r>
      <w:r w:rsidRPr="00BC5F1A">
        <w:rPr>
          <w:highlight w:val="cyan"/>
          <w:lang w:val="de-DE"/>
        </w:rPr>
        <w:t xml:space="preserve"> </w:t>
      </w:r>
      <w:r>
        <w:rPr>
          <w:highlight w:val="cyan"/>
          <w:lang w:val="de-DE"/>
        </w:rPr>
        <w:t>Nr. 4</w:t>
      </w:r>
      <w:r w:rsidRPr="00BC5F1A">
        <w:rPr>
          <w:highlight w:val="cyan"/>
          <w:lang w:val="de-DE"/>
        </w:rPr>
        <w:t xml:space="preserve"> BBergG)</w:t>
      </w:r>
      <w:bookmarkEnd w:id="56"/>
    </w:p>
    <w:p w14:paraId="24A9373F" w14:textId="7FADCE5B" w:rsidR="001B4AB2" w:rsidRPr="00220929" w:rsidRDefault="001B4AB2" w:rsidP="001B4AB2">
      <w:pPr>
        <w:spacing w:after="160"/>
        <w:jc w:val="left"/>
        <w:rPr>
          <w:lang w:val="de-DE"/>
        </w:rPr>
      </w:pPr>
      <w:r w:rsidRPr="00A03D3E">
        <w:rPr>
          <w:highlight w:val="cyan"/>
          <w:lang w:val="de-DE"/>
        </w:rPr>
        <w:lastRenderedPageBreak/>
        <w:t xml:space="preserve">§ 57f Abs. 2 Nr. 4 </w:t>
      </w:r>
      <w:r w:rsidR="00E3515E" w:rsidRPr="00A03D3E">
        <w:rPr>
          <w:highlight w:val="cyan"/>
          <w:lang w:val="de-DE"/>
        </w:rPr>
        <w:t xml:space="preserve">BBergG </w:t>
      </w:r>
      <w:r w:rsidRPr="00A03D3E">
        <w:rPr>
          <w:highlight w:val="cyan"/>
          <w:lang w:val="de-DE"/>
        </w:rPr>
        <w:t>regelt die öffentliche Bekanntmachung. Zur weiteren Verfahrenserleichterung und zur Stärkung der Digitalisierung des Genehmigungsverfahrens sollte § 57f Abs. 2 Nr. 4. BBergG dahingehend angepasst werden, dass keine physische Auslegung der Unterlagen mehr erfolgt, sondern nur noch eine digitale Auslage. Etwas anderes sollte nur gelten, wenn der Vorhabenträger – analog zu § 10 Abs. 1 Satz 5 9. BImSchV - der Veröffentlichung im Internet widerspricht und sich die Behörde für eine physische Offenlage als alternative Beteiligungsart entscheidet</w:t>
      </w:r>
      <w:r w:rsidR="00A03D3E" w:rsidRPr="00A03D3E">
        <w:rPr>
          <w:highlight w:val="cyan"/>
          <w:lang w:val="de-DE"/>
        </w:rPr>
        <w:t>.</w:t>
      </w:r>
    </w:p>
    <w:p w14:paraId="5DFAC4D2" w14:textId="5625F689" w:rsidR="007F3F10" w:rsidRPr="00220929" w:rsidRDefault="007F3F10" w:rsidP="007F3F10">
      <w:pPr>
        <w:pStyle w:val="berschrift1"/>
        <w:rPr>
          <w:highlight w:val="cyan"/>
          <w:lang w:val="de-DE"/>
        </w:rPr>
      </w:pPr>
      <w:bookmarkStart w:id="57" w:name="_Toc187072944"/>
      <w:r w:rsidRPr="00870187">
        <w:rPr>
          <w:highlight w:val="cyan"/>
          <w:lang w:val="de-DE"/>
        </w:rPr>
        <w:t>3.</w:t>
      </w:r>
      <w:r>
        <w:rPr>
          <w:highlight w:val="cyan"/>
          <w:lang w:val="de-DE"/>
        </w:rPr>
        <w:t>5</w:t>
      </w:r>
      <w:r w:rsidRPr="00870187">
        <w:rPr>
          <w:highlight w:val="cyan"/>
          <w:lang w:val="de-DE"/>
        </w:rPr>
        <w:t xml:space="preserve"> Keine Anwendung der IED auf stillgelegte Bergwerke (§ 167a BBergG)</w:t>
      </w:r>
      <w:bookmarkEnd w:id="57"/>
    </w:p>
    <w:p w14:paraId="785D866D" w14:textId="77777777" w:rsidR="007F3F10" w:rsidRPr="00220929" w:rsidRDefault="007F3F10" w:rsidP="007F3F10">
      <w:pPr>
        <w:spacing w:after="160"/>
        <w:jc w:val="left"/>
        <w:rPr>
          <w:highlight w:val="cyan"/>
          <w:lang w:val="de-DE"/>
        </w:rPr>
      </w:pPr>
      <w:r w:rsidRPr="00220929">
        <w:rPr>
          <w:highlight w:val="cyan"/>
          <w:lang w:val="de-DE"/>
        </w:rPr>
        <w:t xml:space="preserve">Es sollte in der Übergangsvorschrift im Bundesberggesetz (§ 167a (neu) BBergG) klargestellt werden, dass die Anforderungen der IED nicht anwendbar sind auf Alt-Bergwerke, deren Abschlussbetriebsplan (§ 53 BbergG) bereits vor Inkrafttreten der IED bestandskräftig zugelassen war. </w:t>
      </w:r>
    </w:p>
    <w:p w14:paraId="36FAF125" w14:textId="77777777" w:rsidR="007F3F10" w:rsidRDefault="007F3F10" w:rsidP="007F3F10">
      <w:pPr>
        <w:spacing w:after="160"/>
        <w:jc w:val="left"/>
        <w:rPr>
          <w:lang w:val="de-DE"/>
        </w:rPr>
      </w:pPr>
      <w:r w:rsidRPr="00220929">
        <w:rPr>
          <w:highlight w:val="cyan"/>
          <w:lang w:val="de-DE"/>
        </w:rPr>
        <w:t xml:space="preserve">Die Aufnahme bestimmter Gewinnungsbetriebe des Bergbaus in der IED führt nicht dazu, dass Anforderungen rückwirkend für Bergwerke gelten, die bereits über einen bestandskräftigen </w:t>
      </w:r>
      <w:proofErr w:type="spellStart"/>
      <w:r w:rsidRPr="00220929">
        <w:rPr>
          <w:highlight w:val="cyan"/>
          <w:lang w:val="de-DE"/>
        </w:rPr>
        <w:t>Abschlußbetriebsplan</w:t>
      </w:r>
      <w:proofErr w:type="spellEnd"/>
      <w:r w:rsidRPr="00220929">
        <w:rPr>
          <w:highlight w:val="cyan"/>
          <w:lang w:val="de-DE"/>
        </w:rPr>
        <w:t xml:space="preserve"> verfügen. Dies ist gesetzlich klarzustellen.</w:t>
      </w:r>
    </w:p>
    <w:p w14:paraId="37ED2858" w14:textId="77777777" w:rsidR="00220929" w:rsidRPr="00220929" w:rsidRDefault="00220929" w:rsidP="00220929">
      <w:pPr>
        <w:spacing w:after="160"/>
        <w:jc w:val="left"/>
        <w:rPr>
          <w:lang w:val="de-DE"/>
        </w:rPr>
      </w:pPr>
    </w:p>
    <w:p w14:paraId="4F928CEA" w14:textId="77777777" w:rsidR="00F24144" w:rsidRDefault="00F24144" w:rsidP="00BC359E">
      <w:pPr>
        <w:spacing w:after="160"/>
        <w:jc w:val="left"/>
        <w:rPr>
          <w:lang w:val="de-DE" w:bidi="en-US"/>
        </w:rPr>
      </w:pPr>
    </w:p>
    <w:p w14:paraId="5E87822A" w14:textId="77777777" w:rsidR="00F24144" w:rsidRDefault="00F24144" w:rsidP="00BC359E">
      <w:pPr>
        <w:spacing w:after="160"/>
        <w:jc w:val="left"/>
        <w:rPr>
          <w:lang w:val="de-DE" w:bidi="en-US"/>
        </w:rPr>
      </w:pPr>
    </w:p>
    <w:p w14:paraId="39D96928" w14:textId="77777777" w:rsidR="0006029C" w:rsidRDefault="0006029C" w:rsidP="00BC359E">
      <w:pPr>
        <w:spacing w:after="160"/>
        <w:jc w:val="left"/>
        <w:rPr>
          <w:lang w:val="de-DE" w:bidi="en-US"/>
        </w:rPr>
      </w:pPr>
    </w:p>
    <w:p w14:paraId="47BF7402" w14:textId="77777777" w:rsidR="00F24144" w:rsidRPr="002962EC" w:rsidRDefault="00F24144" w:rsidP="00BC359E">
      <w:pPr>
        <w:spacing w:after="160"/>
        <w:jc w:val="left"/>
        <w:rPr>
          <w:lang w:val="de-DE" w:bidi="en-US"/>
        </w:rPr>
      </w:pPr>
    </w:p>
    <w:p w14:paraId="7397AD57" w14:textId="77777777" w:rsidR="00CD3DE5" w:rsidRDefault="00CD3DE5">
      <w:pPr>
        <w:spacing w:after="160"/>
        <w:ind w:left="2160"/>
        <w:jc w:val="left"/>
        <w:rPr>
          <w:rFonts w:eastAsiaTheme="majorEastAsia" w:cstheme="majorBidi"/>
          <w:b/>
          <w:color w:val="009EE0" w:themeColor="text2"/>
          <w:sz w:val="24"/>
          <w:szCs w:val="32"/>
          <w:lang w:val="de-DE"/>
        </w:rPr>
      </w:pPr>
      <w:bookmarkStart w:id="58" w:name="_Toc496532228"/>
      <w:bookmarkEnd w:id="8"/>
      <w:r>
        <w:rPr>
          <w:lang w:val="de-DE"/>
        </w:rPr>
        <w:br w:type="page"/>
      </w:r>
    </w:p>
    <w:p w14:paraId="4D3F75A8" w14:textId="2C5FD5BE" w:rsidR="00921A65" w:rsidRPr="00B112AF" w:rsidRDefault="00921A65" w:rsidP="00D136FF">
      <w:pPr>
        <w:pStyle w:val="berschrift1"/>
        <w:rPr>
          <w:lang w:val="de-DE"/>
        </w:rPr>
      </w:pPr>
      <w:bookmarkStart w:id="59" w:name="_Toc187072945"/>
      <w:r w:rsidRPr="00B112AF">
        <w:rPr>
          <w:lang w:val="de-DE"/>
        </w:rPr>
        <w:lastRenderedPageBreak/>
        <w:t>Impressum</w:t>
      </w:r>
      <w:bookmarkEnd w:id="59"/>
      <w:r w:rsidR="00DC7749" w:rsidRPr="00B112AF">
        <w:rPr>
          <w:lang w:val="de-DE"/>
        </w:rPr>
        <w:t xml:space="preserve"> </w:t>
      </w:r>
      <w:bookmarkEnd w:id="58"/>
    </w:p>
    <w:p w14:paraId="2A486754" w14:textId="77777777" w:rsidR="00D604BB" w:rsidRDefault="00D604BB" w:rsidP="00D604BB">
      <w:pPr>
        <w:pStyle w:val="StandardLinksAusrichtung"/>
        <w:spacing w:after="0"/>
      </w:pPr>
      <w:proofErr w:type="spellStart"/>
      <w:r>
        <w:t>RAin</w:t>
      </w:r>
      <w:proofErr w:type="spellEnd"/>
      <w:r>
        <w:t xml:space="preserve"> Annette Giersch</w:t>
      </w:r>
    </w:p>
    <w:p w14:paraId="36B0D7C2" w14:textId="77777777" w:rsidR="00D604BB" w:rsidRDefault="00D604BB" w:rsidP="00D604BB">
      <w:pPr>
        <w:pStyle w:val="StandardLinksAusrichtung"/>
        <w:spacing w:after="0"/>
      </w:pPr>
      <w:r>
        <w:t>Stellv. Abteilungsleiterin Umwelt, Technik und Nachhaltigkeit</w:t>
      </w:r>
    </w:p>
    <w:p w14:paraId="5CE2D8FE" w14:textId="77777777" w:rsidR="00D604BB" w:rsidRDefault="00D604BB" w:rsidP="00D604BB">
      <w:pPr>
        <w:pStyle w:val="StandardLinksAusrichtung"/>
        <w:spacing w:after="0"/>
      </w:pPr>
      <w:r>
        <w:t xml:space="preserve">T: +49 30 20281608 </w:t>
      </w:r>
    </w:p>
    <w:p w14:paraId="48C5F53A" w14:textId="6FDCD830" w:rsidR="00D604BB" w:rsidRDefault="00D604BB" w:rsidP="00D604BB">
      <w:pPr>
        <w:pStyle w:val="StandardLinksAusrichtung"/>
        <w:spacing w:after="0"/>
      </w:pPr>
      <w:hyperlink r:id="rId12" w:history="1">
        <w:r w:rsidRPr="00395433">
          <w:rPr>
            <w:rStyle w:val="Hyperlink"/>
          </w:rPr>
          <w:t>a.giersch@bdi.eu</w:t>
        </w:r>
      </w:hyperlink>
    </w:p>
    <w:p w14:paraId="00E296D2" w14:textId="77777777" w:rsidR="00D604BB" w:rsidRDefault="00D604BB" w:rsidP="00D604BB">
      <w:pPr>
        <w:pStyle w:val="StandardLinksAusrichtung"/>
        <w:spacing w:after="0"/>
      </w:pPr>
    </w:p>
    <w:p w14:paraId="16918FE4" w14:textId="1407E3BC" w:rsidR="00921A65" w:rsidRDefault="00921A65" w:rsidP="00AB1318">
      <w:pPr>
        <w:pStyle w:val="StandardLinksAusrichtung"/>
      </w:pPr>
      <w:r w:rsidRPr="00AB1318">
        <w:t>Bundesverband der Deutschen Industrie e.V. (BDI)</w:t>
      </w:r>
      <w:r w:rsidRPr="00AB1318">
        <w:br/>
        <w:t>Breite Straße 29, 10178 Berlin</w:t>
      </w:r>
      <w:r w:rsidRPr="00AB1318">
        <w:br/>
      </w:r>
      <w:hyperlink r:id="rId13" w:history="1">
        <w:r w:rsidRPr="00AB1318">
          <w:rPr>
            <w:rStyle w:val="Hyperlink"/>
          </w:rPr>
          <w:t>www.bdi.eu</w:t>
        </w:r>
      </w:hyperlink>
      <w:r w:rsidRPr="00AB1318">
        <w:rPr>
          <w:rStyle w:val="Hyperlink"/>
          <w:color w:val="7D9AA8" w:themeColor="text1" w:themeTint="99"/>
        </w:rPr>
        <w:br/>
      </w:r>
      <w:r w:rsidR="005B6560" w:rsidRPr="00AB1318">
        <w:t>T:</w:t>
      </w:r>
      <w:r w:rsidRPr="00AB1318">
        <w:t xml:space="preserve"> +49 30 2028-0</w:t>
      </w:r>
    </w:p>
    <w:p w14:paraId="5D2E7971" w14:textId="5C606D2A" w:rsidR="00B73F5A" w:rsidRPr="00D501A6" w:rsidRDefault="00690087" w:rsidP="00D136FF">
      <w:pPr>
        <w:rPr>
          <w:spacing w:val="3"/>
          <w:lang w:val="de-DE"/>
        </w:rPr>
      </w:pPr>
      <w:r w:rsidRPr="001046A2">
        <w:rPr>
          <w:spacing w:val="3"/>
          <w:lang w:val="de-DE"/>
        </w:rPr>
        <w:t>Lobbyregisternummer</w:t>
      </w:r>
      <w:r w:rsidR="001E5FB2" w:rsidRPr="00E00F78">
        <w:rPr>
          <w:spacing w:val="3"/>
          <w:lang w:val="de-DE"/>
        </w:rPr>
        <w:t>: R000534</w:t>
      </w:r>
    </w:p>
    <w:p w14:paraId="22DB6A79" w14:textId="77777777" w:rsidR="00B73F5A" w:rsidRDefault="00B73F5A" w:rsidP="00B73F5A">
      <w:pPr>
        <w:jc w:val="left"/>
        <w:rPr>
          <w:rFonts w:ascii="Times New Roman" w:hAnsi="Times New Roman" w:cs="Times New Roman"/>
          <w:color w:val="auto"/>
          <w:spacing w:val="3"/>
          <w:lang w:val="de-DE"/>
        </w:rPr>
      </w:pPr>
    </w:p>
    <w:p w14:paraId="56906C09" w14:textId="1C304FD9" w:rsidR="00B73F5A" w:rsidRPr="001E5FB2" w:rsidRDefault="00B73F5A" w:rsidP="00B73F5A">
      <w:pPr>
        <w:rPr>
          <w:spacing w:val="3"/>
          <w:lang w:val="de-DE"/>
        </w:rPr>
      </w:pPr>
      <w:r w:rsidRPr="001E5FB2">
        <w:rPr>
          <w:spacing w:val="3"/>
          <w:lang w:val="de-DE"/>
        </w:rPr>
        <w:t xml:space="preserve">BDI Dokumentennummer: </w:t>
      </w:r>
      <w:r w:rsidR="00F812DE" w:rsidRPr="00F812DE">
        <w:rPr>
          <w:spacing w:val="3"/>
          <w:highlight w:val="yellow"/>
          <w:lang w:val="de-DE"/>
        </w:rPr>
        <w:t>XXX</w:t>
      </w:r>
    </w:p>
    <w:sectPr w:rsidR="00B73F5A" w:rsidRPr="001E5FB2" w:rsidSect="00892ADD">
      <w:headerReference w:type="even" r:id="rId14"/>
      <w:headerReference w:type="default" r:id="rId15"/>
      <w:headerReference w:type="first" r:id="rId16"/>
      <w:footerReference w:type="first" r:id="rId17"/>
      <w:type w:val="continuous"/>
      <w:pgSz w:w="11906" w:h="16838" w:code="9"/>
      <w:pgMar w:top="1702" w:right="1134" w:bottom="1619" w:left="1814" w:header="851" w:footer="665" w:gutter="0"/>
      <w:pgNumType w:start="1"/>
      <w:cols w:space="284"/>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18B15" w14:textId="77777777" w:rsidR="00CA7D29" w:rsidRDefault="00CA7D29" w:rsidP="00D136FF">
      <w:r>
        <w:separator/>
      </w:r>
    </w:p>
  </w:endnote>
  <w:endnote w:type="continuationSeparator" w:id="0">
    <w:p w14:paraId="2B79C50B" w14:textId="77777777" w:rsidR="00CA7D29" w:rsidRDefault="00CA7D29" w:rsidP="00D13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1230621"/>
      <w:docPartObj>
        <w:docPartGallery w:val="Page Numbers (Bottom of Page)"/>
        <w:docPartUnique/>
      </w:docPartObj>
    </w:sdtPr>
    <w:sdtEndPr/>
    <w:sdtContent>
      <w:sdt>
        <w:sdtPr>
          <w:id w:val="-172185011"/>
          <w:docPartObj>
            <w:docPartGallery w:val="Page Numbers (Top of Page)"/>
            <w:docPartUnique/>
          </w:docPartObj>
        </w:sdtPr>
        <w:sdtEndPr/>
        <w:sdtContent>
          <w:p w14:paraId="7257537F" w14:textId="77777777" w:rsidR="00B93206" w:rsidRPr="00DF6433" w:rsidRDefault="00B93206" w:rsidP="00D136FF">
            <w:pPr>
              <w:pStyle w:val="Fuzeile"/>
            </w:pPr>
            <w:r w:rsidRPr="00DF6433">
              <w:fldChar w:fldCharType="begin"/>
            </w:r>
            <w:r w:rsidRPr="00DF6433">
              <w:instrText>PAGE</w:instrText>
            </w:r>
            <w:r w:rsidRPr="00DF6433">
              <w:fldChar w:fldCharType="separate"/>
            </w:r>
            <w:r w:rsidR="005E5E99">
              <w:rPr>
                <w:noProof/>
              </w:rPr>
              <w:t>5</w:t>
            </w:r>
            <w:r w:rsidRPr="00DF6433">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4D40BF" w14:textId="77777777" w:rsidR="00E4429F" w:rsidRDefault="00E4429F" w:rsidP="00D136FF">
    <w:pPr>
      <w:pStyle w:val="Fuzeile"/>
    </w:pPr>
  </w:p>
  <w:p w14:paraId="13B9B4BC" w14:textId="77777777" w:rsidR="00E4429F" w:rsidRDefault="00E4429F" w:rsidP="00D136FF">
    <w:pPr>
      <w:pStyle w:val="Fuzeile"/>
    </w:pPr>
  </w:p>
  <w:p w14:paraId="56573F80" w14:textId="77777777" w:rsidR="00D5395E" w:rsidRPr="007808D3" w:rsidRDefault="00675204" w:rsidP="00D136FF">
    <w:pPr>
      <w:rPr>
        <w:b/>
        <w:sz w:val="38"/>
        <w:szCs w:val="38"/>
        <w:lang w:val="de-DE"/>
      </w:rPr>
    </w:pPr>
    <w:r w:rsidRPr="00675204">
      <w:rPr>
        <w:noProof/>
        <w:lang w:eastAsia="de-DE"/>
      </w:rPr>
      <w:drawing>
        <wp:anchor distT="0" distB="0" distL="114300" distR="114300" simplePos="0" relativeHeight="251656704" behindDoc="1" locked="0" layoutInCell="1" allowOverlap="1" wp14:anchorId="42D1A63C" wp14:editId="7FE320D6">
          <wp:simplePos x="0" y="0"/>
          <wp:positionH relativeFrom="column">
            <wp:posOffset>-1270</wp:posOffset>
          </wp:positionH>
          <wp:positionV relativeFrom="paragraph">
            <wp:posOffset>-105410</wp:posOffset>
          </wp:positionV>
          <wp:extent cx="5651500" cy="7620"/>
          <wp:effectExtent l="0" t="0" r="0" b="0"/>
          <wp:wrapTopAndBottom/>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51500" cy="7620"/>
                  </a:xfrm>
                  <a:prstGeom prst="rect">
                    <a:avLst/>
                  </a:prstGeom>
                  <a:noFill/>
                  <a:ln>
                    <a:noFill/>
                  </a:ln>
                </pic:spPr>
              </pic:pic>
            </a:graphicData>
          </a:graphic>
        </wp:anchor>
      </w:drawing>
    </w:r>
    <w:r w:rsidRPr="007808D3">
      <w:rPr>
        <w:b/>
        <w:lang w:val="de-DE"/>
      </w:rPr>
      <w:t xml:space="preserve"> </w:t>
    </w:r>
    <w:r w:rsidRPr="007808D3">
      <w:rPr>
        <w:lang w:val="de-DE"/>
      </w:rPr>
      <w:t>Autor</w:t>
    </w:r>
    <w:r w:rsidRPr="007808D3">
      <w:rPr>
        <w:b/>
        <w:lang w:val="de-DE"/>
      </w:rPr>
      <w:t xml:space="preserve"> | </w:t>
    </w:r>
    <w:r w:rsidR="005B1694" w:rsidRPr="007808D3">
      <w:rPr>
        <w:lang w:val="de-DE"/>
      </w:rPr>
      <w:t>A</w:t>
    </w:r>
    <w:r w:rsidRPr="007808D3">
      <w:rPr>
        <w:lang w:val="de-DE"/>
      </w:rPr>
      <w:t>bteilung</w:t>
    </w:r>
    <w:r w:rsidRPr="007808D3">
      <w:rPr>
        <w:b/>
        <w:lang w:val="de-DE"/>
      </w:rPr>
      <w:t xml:space="preserve"> | </w:t>
    </w:r>
    <w:r w:rsidRPr="007808D3">
      <w:rPr>
        <w:lang w:val="de-DE"/>
      </w:rPr>
      <w:t xml:space="preserve">T: +49 30 2028-0 | </w:t>
    </w:r>
    <w:hyperlink r:id="rId2" w:history="1">
      <w:r w:rsidRPr="007808D3">
        <w:rPr>
          <w:rStyle w:val="Hyperlink"/>
          <w:color w:val="7D9AA8" w:themeColor="text1" w:themeTint="99"/>
          <w:szCs w:val="18"/>
          <w:lang w:val="de-DE"/>
        </w:rPr>
        <w:t>m.mustermann@bdi.eu</w:t>
      </w:r>
    </w:hyperlink>
    <w:r w:rsidRPr="007808D3">
      <w:rPr>
        <w:lang w:val="de-DE"/>
      </w:rPr>
      <w:t xml:space="preserve"> |</w:t>
    </w:r>
    <w:r w:rsidRPr="007808D3">
      <w:rPr>
        <w:b/>
        <w:lang w:val="de-DE"/>
      </w:rPr>
      <w:t xml:space="preserve"> </w:t>
    </w:r>
    <w:r w:rsidRPr="007808D3">
      <w:rPr>
        <w:lang w:val="de-DE"/>
      </w:rPr>
      <w:t>www.bdi.eu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A361CB" w14:textId="77777777" w:rsidR="00CA7D29" w:rsidRDefault="00CA7D29" w:rsidP="00D136FF">
      <w:r>
        <w:separator/>
      </w:r>
    </w:p>
  </w:footnote>
  <w:footnote w:type="continuationSeparator" w:id="0">
    <w:p w14:paraId="679B739D" w14:textId="77777777" w:rsidR="00CA7D29" w:rsidRDefault="00CA7D29" w:rsidP="00D136FF">
      <w:r>
        <w:continuationSeparator/>
      </w:r>
    </w:p>
  </w:footnote>
  <w:footnote w:id="1">
    <w:p w14:paraId="334E4646" w14:textId="77777777" w:rsidR="00E35E69" w:rsidRPr="00DF1BD3" w:rsidRDefault="00E35E69" w:rsidP="00E35E69">
      <w:pPr>
        <w:pStyle w:val="Funotentext"/>
        <w:rPr>
          <w:sz w:val="18"/>
          <w:szCs w:val="18"/>
          <w:lang w:val="de-DE"/>
        </w:rPr>
      </w:pPr>
      <w:r w:rsidRPr="00DF1BD3">
        <w:rPr>
          <w:rStyle w:val="Funotenzeichen"/>
          <w:sz w:val="18"/>
          <w:szCs w:val="18"/>
        </w:rPr>
        <w:footnoteRef/>
      </w:r>
      <w:r w:rsidRPr="00DF1BD3">
        <w:rPr>
          <w:sz w:val="18"/>
          <w:szCs w:val="18"/>
          <w:lang w:val="de-DE"/>
        </w:rPr>
        <w:t xml:space="preserve"> Es sollte berücksichtigt werden, dass der Ersatz ggf. in verbundenen Unternehmen stattfindet. Auch sollte berücksichtigt werden, dass der Ersatz einer stillzulegenden Anlage ggf. auch schon vor der Stilllegung durch eine neue Anlage erfolgen kann.</w:t>
      </w:r>
    </w:p>
  </w:footnote>
  <w:footnote w:id="2">
    <w:p w14:paraId="5CEAA7AC" w14:textId="77777777" w:rsidR="00E35E69" w:rsidRPr="000000F3" w:rsidRDefault="00E35E69" w:rsidP="00E35E69">
      <w:pPr>
        <w:pStyle w:val="Funotentext"/>
        <w:rPr>
          <w:lang w:val="de-DE"/>
        </w:rPr>
      </w:pPr>
      <w:r w:rsidRPr="00DF1BD3">
        <w:rPr>
          <w:rStyle w:val="Funotenzeichen"/>
          <w:sz w:val="18"/>
          <w:szCs w:val="18"/>
        </w:rPr>
        <w:footnoteRef/>
      </w:r>
      <w:r w:rsidRPr="00DF1BD3">
        <w:rPr>
          <w:sz w:val="18"/>
          <w:szCs w:val="18"/>
          <w:lang w:val="de-DE"/>
        </w:rPr>
        <w:t xml:space="preserve"> Der “räumliche Zusammenhang” ist eine Anleihe aus dem EEG und wird dort weit verstanden, gerade weil das Wort “unmittelbar” nicht davorsteht. Darum geht es auch hier, denn zwischen dem Standort der stillzulegenden Anlage und der Ersatzanlage kann schon mal eine Kreis- oder Bundeslandgrenze liegen; ggf. auch eine Landesgrenze – die Unternehmen agieren in einem europäischen Binnenmarkt – und das sollte die Anwendung von Artikel 27e IED nicht behindern.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BD6F3" w14:textId="1799CCDC" w:rsidR="008633D1" w:rsidRDefault="0041320B">
    <w:pPr>
      <w:pStyle w:val="Kopfzeile"/>
    </w:pPr>
    <w:r>
      <w:rPr>
        <w:noProof/>
      </w:rPr>
      <w:pict w14:anchorId="7B26B9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7429579" o:spid="_x0000_s1026" type="#_x0000_t136" style="position:absolute;left:0;text-align:left;margin-left:0;margin-top:0;width:505.2pt;height:126.3pt;rotation:315;z-index:-251651072;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1D6EE4" w14:textId="4A9F7898" w:rsidR="00B93206" w:rsidRPr="00D136FF" w:rsidRDefault="0041320B" w:rsidP="00D136FF">
    <w:pPr>
      <w:pStyle w:val="Kopfzeile"/>
      <w:rPr>
        <w:lang w:val="de-DE"/>
      </w:rPr>
    </w:pPr>
    <w:r>
      <w:rPr>
        <w:noProof/>
      </w:rPr>
      <w:pict w14:anchorId="2EBC5C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7429580" o:spid="_x0000_s1027" type="#_x0000_t136" style="position:absolute;left:0;text-align:left;margin-left:0;margin-top:0;width:505.2pt;height:126.3pt;rotation:315;z-index:-251649024;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r w:rsidR="004905BF">
      <w:rPr>
        <w:lang w:val="de-DE"/>
      </w:rPr>
      <w:t>BDI-Stellungnahme zur Umsetzung der EU-Richtlinie über Industrieemissionen</w:t>
    </w:r>
    <w:r w:rsidR="00B93206" w:rsidRPr="00D136FF">
      <w:rPr>
        <w:lang w:val="de-DE"/>
      </w:rPr>
      <w:t xml:space="preserve">  </w:t>
    </w:r>
    <w:r w:rsidR="00B93206">
      <w:fldChar w:fldCharType="begin"/>
    </w:r>
    <w:r w:rsidR="00B93206">
      <w:instrText xml:space="preserve"> SAVEDATE  \@ "MM/yyyy"  \* MERGEFORMAT </w:instrText>
    </w:r>
    <w:r w:rsidR="00B93206">
      <w:fldChar w:fldCharType="separate"/>
    </w:r>
    <w:r w:rsidR="005D10BF">
      <w:rPr>
        <w:noProof/>
      </w:rPr>
      <w:t>01/2025</w:t>
    </w:r>
    <w:r w:rsidR="00B93206">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B4EAA" w14:textId="5251CBD5" w:rsidR="00B93206" w:rsidRDefault="0041320B" w:rsidP="00D136FF">
    <w:pPr>
      <w:pStyle w:val="Kopfzeile"/>
    </w:pPr>
    <w:r>
      <w:rPr>
        <w:noProof/>
      </w:rPr>
      <w:pict w14:anchorId="5C2D56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7429578" o:spid="_x0000_s1025" type="#_x0000_t136" style="position:absolute;left:0;text-align:left;margin-left:0;margin-top:0;width:505.2pt;height:126.3pt;rotation:315;z-index:-251653120;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r w:rsidR="00A237CF">
      <w:rPr>
        <w:rFonts w:ascii="Cambria" w:eastAsia="MS Mincho" w:hAnsi="Cambria" w:cs="Times New Roman"/>
        <w:noProof/>
        <w:color w:val="auto"/>
        <w:szCs w:val="24"/>
        <w:lang w:eastAsia="de-DE"/>
      </w:rPr>
      <w:drawing>
        <wp:anchor distT="0" distB="0" distL="114300" distR="114300" simplePos="0" relativeHeight="251656192" behindDoc="0" locked="0" layoutInCell="1" allowOverlap="1" wp14:anchorId="1B0862EA" wp14:editId="2BC75964">
          <wp:simplePos x="0" y="0"/>
          <wp:positionH relativeFrom="column">
            <wp:posOffset>-323215</wp:posOffset>
          </wp:positionH>
          <wp:positionV relativeFrom="paragraph">
            <wp:posOffset>2540</wp:posOffset>
          </wp:positionV>
          <wp:extent cx="838200" cy="247650"/>
          <wp:effectExtent l="0" t="0" r="0" b="2540"/>
          <wp:wrapNone/>
          <wp:docPr id="1944670633" name="Grafik 194467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DI-Logo weiß0.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838200" cy="247650"/>
                  </a:xfrm>
                  <a:prstGeom prst="rect">
                    <a:avLst/>
                  </a:prstGeom>
                </pic:spPr>
              </pic:pic>
            </a:graphicData>
          </a:graphic>
          <wp14:sizeRelH relativeFrom="margin">
            <wp14:pctWidth>0</wp14:pctWidth>
          </wp14:sizeRelH>
          <wp14:sizeRelV relativeFrom="margin">
            <wp14:pctHeight>0</wp14:pctHeight>
          </wp14:sizeRelV>
        </wp:anchor>
      </w:drawing>
    </w:r>
    <w:r w:rsidR="008C47DB">
      <w:rPr>
        <w:noProof/>
      </w:rPr>
      <mc:AlternateContent>
        <mc:Choice Requires="wps">
          <w:drawing>
            <wp:anchor distT="0" distB="0" distL="114300" distR="114300" simplePos="0" relativeHeight="251661312" behindDoc="1" locked="1" layoutInCell="1" allowOverlap="1" wp14:anchorId="772425C5" wp14:editId="552CF3D2">
              <wp:simplePos x="0" y="0"/>
              <wp:positionH relativeFrom="page">
                <wp:posOffset>279400</wp:posOffset>
              </wp:positionH>
              <wp:positionV relativeFrom="page">
                <wp:posOffset>247015</wp:posOffset>
              </wp:positionV>
              <wp:extent cx="7035800" cy="2876550"/>
              <wp:effectExtent l="0" t="0" r="0" b="0"/>
              <wp:wrapNone/>
              <wp:docPr id="567420051" name="Freihandform: Form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rot="10800000">
                        <a:off x="0" y="0"/>
                        <a:ext cx="7035800" cy="2876550"/>
                      </a:xfrm>
                      <a:custGeom>
                        <a:avLst/>
                        <a:gdLst>
                          <a:gd name="connsiteX0" fmla="*/ 0 w 10000"/>
                          <a:gd name="connsiteY0" fmla="*/ 2000 h 10000"/>
                          <a:gd name="connsiteX1" fmla="*/ 10000 w 10000"/>
                          <a:gd name="connsiteY1" fmla="*/ 0 h 10000"/>
                          <a:gd name="connsiteX2" fmla="*/ 10000 w 10000"/>
                          <a:gd name="connsiteY2" fmla="*/ 10000 h 10000"/>
                          <a:gd name="connsiteX3" fmla="*/ 0 w 10000"/>
                          <a:gd name="connsiteY3" fmla="*/ 10000 h 10000"/>
                          <a:gd name="connsiteX4" fmla="*/ 0 w 10000"/>
                          <a:gd name="connsiteY4" fmla="*/ 2000 h 10000"/>
                          <a:gd name="connsiteX0" fmla="*/ 25 w 10000"/>
                          <a:gd name="connsiteY0" fmla="*/ 247 h 10000"/>
                          <a:gd name="connsiteX1" fmla="*/ 10000 w 10000"/>
                          <a:gd name="connsiteY1" fmla="*/ 0 h 10000"/>
                          <a:gd name="connsiteX2" fmla="*/ 10000 w 10000"/>
                          <a:gd name="connsiteY2" fmla="*/ 10000 h 10000"/>
                          <a:gd name="connsiteX3" fmla="*/ 0 w 10000"/>
                          <a:gd name="connsiteY3" fmla="*/ 10000 h 10000"/>
                          <a:gd name="connsiteX4" fmla="*/ 25 w 10000"/>
                          <a:gd name="connsiteY4" fmla="*/ 247 h 10000"/>
                          <a:gd name="connsiteX0" fmla="*/ 2 w 10002"/>
                          <a:gd name="connsiteY0" fmla="*/ 0 h 10000"/>
                          <a:gd name="connsiteX1" fmla="*/ 10002 w 10002"/>
                          <a:gd name="connsiteY1" fmla="*/ 0 h 10000"/>
                          <a:gd name="connsiteX2" fmla="*/ 10002 w 10002"/>
                          <a:gd name="connsiteY2" fmla="*/ 10000 h 10000"/>
                          <a:gd name="connsiteX3" fmla="*/ 2 w 10002"/>
                          <a:gd name="connsiteY3" fmla="*/ 10000 h 10000"/>
                          <a:gd name="connsiteX4" fmla="*/ 2 w 10002"/>
                          <a:gd name="connsiteY4" fmla="*/ 0 h 10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0002" h="10000">
                            <a:moveTo>
                              <a:pt x="2" y="0"/>
                            </a:moveTo>
                            <a:lnTo>
                              <a:pt x="10002" y="0"/>
                            </a:lnTo>
                            <a:lnTo>
                              <a:pt x="10002" y="10000"/>
                            </a:lnTo>
                            <a:lnTo>
                              <a:pt x="2" y="10000"/>
                            </a:lnTo>
                            <a:cubicBezTo>
                              <a:pt x="10" y="6749"/>
                              <a:pt x="-6" y="3251"/>
                              <a:pt x="2" y="0"/>
                            </a:cubicBezTo>
                            <a:close/>
                          </a:path>
                        </a:pathLst>
                      </a:custGeom>
                      <a:gradFill flip="none" rotWithShape="1">
                        <a:gsLst>
                          <a:gs pos="0">
                            <a:srgbClr val="2DCFF4"/>
                          </a:gs>
                          <a:gs pos="100000">
                            <a:srgbClr val="009EE0"/>
                          </a:gs>
                        </a:gsLst>
                        <a:lin ang="189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upright="1"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6EF3FBC" id="Freihandform: Form 1" o:spid="_x0000_s1026" style="position:absolute;margin-left:22pt;margin-top:19.45pt;width:554pt;height:226.5pt;rotation:180;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coordsize="10002,1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" path="m2,l10002,r,10000l2,10000c10,6749,-6,3251,2,xe" fillcolor="#2dcff4" stroked="f" strokeweight="1pt">
              <v:fill color2="#009ee0" rotate="t" angle="135" focus="100%" type="gradient"/>
              <v:stroke joinstyle="miter"/>
              <v:path arrowok="t" o:connecttype="custom" o:connectlocs="1407,0;7035800,0;7035800,2876550;1407,2876550;1407,0" o:connectangles="0,0,0,0,0"/>
              <o:lock v:ext="edit" aspectratio="t"/>
              <w10:wrap anchorx="page" anchory="page"/>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7DBA1" w14:textId="7C4BE9A1" w:rsidR="00B30005" w:rsidRDefault="0041320B">
    <w:pPr>
      <w:pStyle w:val="Kopfzeile"/>
    </w:pPr>
    <w:r>
      <w:rPr>
        <w:noProof/>
      </w:rPr>
      <w:pict w14:anchorId="764CD3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7429582" o:spid="_x0000_s1029" type="#_x0000_t136" style="position:absolute;left:0;text-align:left;margin-left:0;margin-top:0;width:505.2pt;height:126.3pt;rotation:315;z-index:-251644928;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61747" w14:textId="46F76169" w:rsidR="000808A8" w:rsidRPr="007D607A" w:rsidRDefault="0041320B" w:rsidP="00D136FF">
    <w:pPr>
      <w:pStyle w:val="Kopfzeile"/>
      <w:rPr>
        <w:lang w:val="de-DE"/>
      </w:rPr>
    </w:pPr>
    <w:r>
      <w:rPr>
        <w:noProof/>
      </w:rPr>
      <w:pict w14:anchorId="7DE903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7429583" o:spid="_x0000_s1030" type="#_x0000_t136" style="position:absolute;left:0;text-align:left;margin-left:0;margin-top:0;width:505.2pt;height:126.3pt;rotation:315;z-index:-251642880;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r w:rsidR="004905BF">
      <w:rPr>
        <w:noProof/>
        <w:lang w:val="de-DE"/>
      </w:rPr>
      <w:t xml:space="preserve">BDI-Stellungnahme </w:t>
    </w:r>
    <w:r w:rsidR="00A15444">
      <w:rPr>
        <w:noProof/>
        <w:lang w:val="de-DE"/>
      </w:rPr>
      <w:t xml:space="preserve">zum </w:t>
    </w:r>
    <w:r w:rsidR="00106BBF">
      <w:rPr>
        <w:noProof/>
        <w:lang w:val="de-DE"/>
      </w:rPr>
      <w:t>Artikel</w:t>
    </w:r>
    <w:r w:rsidR="00A15444">
      <w:rPr>
        <w:noProof/>
        <w:lang w:val="de-DE"/>
      </w:rPr>
      <w:t xml:space="preserve">gesetz </w:t>
    </w:r>
    <w:r w:rsidR="004905BF">
      <w:rPr>
        <w:noProof/>
        <w:lang w:val="de-DE"/>
      </w:rPr>
      <w:t>zur Umsetzung der EU-Richtlinie über Industrieemissionen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65CD3" w14:textId="6F3E0BE5" w:rsidR="00B30005" w:rsidRDefault="0041320B">
    <w:pPr>
      <w:pStyle w:val="Kopfzeile"/>
    </w:pPr>
    <w:r>
      <w:rPr>
        <w:noProof/>
      </w:rPr>
      <w:pict w14:anchorId="7594F9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27429581" o:spid="_x0000_s1028" type="#_x0000_t136" style="position:absolute;left:0;text-align:left;margin-left:0;margin-top:0;width:505.2pt;height:126.3pt;rotation:315;z-index:-251646976;mso-position-horizontal:center;mso-position-horizontal-relative:margin;mso-position-vertical:center;mso-position-vertical-relative:margin" o:allowincell="f" fillcolor="silver" stroked="f">
          <v:fill opacity=".5"/>
          <v:textpath style="font-family:&quot;Arial&quot;;font-size:1pt" string="ENTWUR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1446016"/>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165A2D8F"/>
    <w:multiLevelType w:val="hybridMultilevel"/>
    <w:tmpl w:val="0D748A5A"/>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9A20D51"/>
    <w:multiLevelType w:val="hybridMultilevel"/>
    <w:tmpl w:val="F4E48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5963B1"/>
    <w:multiLevelType w:val="hybridMultilevel"/>
    <w:tmpl w:val="7AAEDA62"/>
    <w:lvl w:ilvl="0" w:tplc="0F9058E4">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D376027"/>
    <w:multiLevelType w:val="hybridMultilevel"/>
    <w:tmpl w:val="47EED858"/>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3D0E723A"/>
    <w:multiLevelType w:val="hybridMultilevel"/>
    <w:tmpl w:val="08EE05AC"/>
    <w:lvl w:ilvl="0" w:tplc="4BD451FE">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242105A"/>
    <w:multiLevelType w:val="hybridMultilevel"/>
    <w:tmpl w:val="3FF03ADA"/>
    <w:lvl w:ilvl="0" w:tplc="476A1D00">
      <w:start w:val="1"/>
      <w:numFmt w:val="bullet"/>
      <w:pStyle w:val="Auszug"/>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7780B4A"/>
    <w:multiLevelType w:val="hybridMultilevel"/>
    <w:tmpl w:val="7914616C"/>
    <w:lvl w:ilvl="0" w:tplc="C15C956A">
      <w:start w:val="1"/>
      <w:numFmt w:val="bullet"/>
      <w:pStyle w:val="Listenabsatz"/>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cs="Wingdings" w:hint="default"/>
      </w:rPr>
    </w:lvl>
    <w:lvl w:ilvl="3" w:tplc="04070001" w:tentative="1">
      <w:start w:val="1"/>
      <w:numFmt w:val="bullet"/>
      <w:lvlText w:val=""/>
      <w:lvlJc w:val="left"/>
      <w:pPr>
        <w:ind w:left="2520" w:hanging="360"/>
      </w:pPr>
      <w:rPr>
        <w:rFonts w:ascii="Symbol" w:hAnsi="Symbol" w:cs="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cs="Wingdings" w:hint="default"/>
      </w:rPr>
    </w:lvl>
    <w:lvl w:ilvl="6" w:tplc="04070001" w:tentative="1">
      <w:start w:val="1"/>
      <w:numFmt w:val="bullet"/>
      <w:lvlText w:val=""/>
      <w:lvlJc w:val="left"/>
      <w:pPr>
        <w:ind w:left="4680" w:hanging="360"/>
      </w:pPr>
      <w:rPr>
        <w:rFonts w:ascii="Symbol" w:hAnsi="Symbol" w:cs="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cs="Wingdings" w:hint="default"/>
      </w:rPr>
    </w:lvl>
  </w:abstractNum>
  <w:abstractNum w:abstractNumId="8" w15:restartNumberingAfterBreak="0">
    <w:nsid w:val="4BB94648"/>
    <w:multiLevelType w:val="hybridMultilevel"/>
    <w:tmpl w:val="E7AC40D4"/>
    <w:lvl w:ilvl="0" w:tplc="7D76AF70">
      <w:start w:val="5"/>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1CC5028"/>
    <w:multiLevelType w:val="hybridMultilevel"/>
    <w:tmpl w:val="A1EED5A6"/>
    <w:lvl w:ilvl="0" w:tplc="0F9058E4">
      <w:start w:val="4"/>
      <w:numFmt w:val="bullet"/>
      <w:lvlText w:val="-"/>
      <w:lvlJc w:val="left"/>
      <w:pPr>
        <w:ind w:left="1068" w:hanging="360"/>
      </w:pPr>
      <w:rPr>
        <w:rFonts w:ascii="Arial" w:eastAsiaTheme="minorEastAsia"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0" w15:restartNumberingAfterBreak="0">
    <w:nsid w:val="55A85E82"/>
    <w:multiLevelType w:val="hybridMultilevel"/>
    <w:tmpl w:val="E2CE92E0"/>
    <w:lvl w:ilvl="0" w:tplc="DA34A628">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5E753B6"/>
    <w:multiLevelType w:val="hybridMultilevel"/>
    <w:tmpl w:val="CB7AA0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FD655AB"/>
    <w:multiLevelType w:val="hybridMultilevel"/>
    <w:tmpl w:val="2B1E7BDE"/>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606250C7"/>
    <w:multiLevelType w:val="hybridMultilevel"/>
    <w:tmpl w:val="917A9686"/>
    <w:lvl w:ilvl="0" w:tplc="0F9058E4">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1E12ECC"/>
    <w:multiLevelType w:val="hybridMultilevel"/>
    <w:tmpl w:val="7E4479D2"/>
    <w:lvl w:ilvl="0" w:tplc="0407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646543AE"/>
    <w:multiLevelType w:val="hybridMultilevel"/>
    <w:tmpl w:val="4880C0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1C844F3"/>
    <w:multiLevelType w:val="hybridMultilevel"/>
    <w:tmpl w:val="3F08639A"/>
    <w:lvl w:ilvl="0" w:tplc="8BDE41E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40A6910"/>
    <w:multiLevelType w:val="hybridMultilevel"/>
    <w:tmpl w:val="73424FC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79A216ED"/>
    <w:multiLevelType w:val="hybridMultilevel"/>
    <w:tmpl w:val="76064D36"/>
    <w:lvl w:ilvl="0" w:tplc="0F9058E4">
      <w:start w:val="4"/>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AA323C4"/>
    <w:multiLevelType w:val="hybridMultilevel"/>
    <w:tmpl w:val="CB7AA04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709602802">
    <w:abstractNumId w:val="0"/>
  </w:num>
  <w:num w:numId="2" w16cid:durableId="1800800421">
    <w:abstractNumId w:val="6"/>
  </w:num>
  <w:num w:numId="3" w16cid:durableId="623196412">
    <w:abstractNumId w:val="7"/>
  </w:num>
  <w:num w:numId="4" w16cid:durableId="1905722408">
    <w:abstractNumId w:val="4"/>
  </w:num>
  <w:num w:numId="5" w16cid:durableId="241335154">
    <w:abstractNumId w:val="1"/>
  </w:num>
  <w:num w:numId="6" w16cid:durableId="1839270267">
    <w:abstractNumId w:val="19"/>
  </w:num>
  <w:num w:numId="7" w16cid:durableId="361788074">
    <w:abstractNumId w:val="14"/>
  </w:num>
  <w:num w:numId="8" w16cid:durableId="916205244">
    <w:abstractNumId w:val="12"/>
  </w:num>
  <w:num w:numId="9" w16cid:durableId="184485884">
    <w:abstractNumId w:val="9"/>
  </w:num>
  <w:num w:numId="10" w16cid:durableId="64886814">
    <w:abstractNumId w:val="10"/>
  </w:num>
  <w:num w:numId="11" w16cid:durableId="226887169">
    <w:abstractNumId w:val="18"/>
  </w:num>
  <w:num w:numId="12" w16cid:durableId="9257134">
    <w:abstractNumId w:val="5"/>
  </w:num>
  <w:num w:numId="13" w16cid:durableId="1563910037">
    <w:abstractNumId w:val="19"/>
  </w:num>
  <w:num w:numId="14" w16cid:durableId="887954810">
    <w:abstractNumId w:val="11"/>
  </w:num>
  <w:num w:numId="15" w16cid:durableId="1862694631">
    <w:abstractNumId w:val="16"/>
  </w:num>
  <w:num w:numId="16" w16cid:durableId="1428887730">
    <w:abstractNumId w:val="2"/>
  </w:num>
  <w:num w:numId="17" w16cid:durableId="481314029">
    <w:abstractNumId w:val="17"/>
  </w:num>
  <w:num w:numId="18" w16cid:durableId="1110735634">
    <w:abstractNumId w:val="3"/>
  </w:num>
  <w:num w:numId="19" w16cid:durableId="1293293613">
    <w:abstractNumId w:val="8"/>
  </w:num>
  <w:num w:numId="20" w16cid:durableId="226112587">
    <w:abstractNumId w:val="13"/>
  </w:num>
  <w:num w:numId="21" w16cid:durableId="256014731">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9C1"/>
    <w:rsid w:val="000000F3"/>
    <w:rsid w:val="00000422"/>
    <w:rsid w:val="00000B07"/>
    <w:rsid w:val="000019D7"/>
    <w:rsid w:val="00002C05"/>
    <w:rsid w:val="00002CC6"/>
    <w:rsid w:val="00003278"/>
    <w:rsid w:val="000032FD"/>
    <w:rsid w:val="00004853"/>
    <w:rsid w:val="00004DA4"/>
    <w:rsid w:val="00006ABE"/>
    <w:rsid w:val="00006EF8"/>
    <w:rsid w:val="000072D7"/>
    <w:rsid w:val="00007F19"/>
    <w:rsid w:val="000117ED"/>
    <w:rsid w:val="000128A9"/>
    <w:rsid w:val="00013554"/>
    <w:rsid w:val="000135BD"/>
    <w:rsid w:val="00013871"/>
    <w:rsid w:val="00014385"/>
    <w:rsid w:val="000147E5"/>
    <w:rsid w:val="000152C1"/>
    <w:rsid w:val="0001789B"/>
    <w:rsid w:val="0002442B"/>
    <w:rsid w:val="00024BC0"/>
    <w:rsid w:val="00026020"/>
    <w:rsid w:val="00026A54"/>
    <w:rsid w:val="00027364"/>
    <w:rsid w:val="000304C5"/>
    <w:rsid w:val="000305E7"/>
    <w:rsid w:val="0003172A"/>
    <w:rsid w:val="00032325"/>
    <w:rsid w:val="00032439"/>
    <w:rsid w:val="00032F5A"/>
    <w:rsid w:val="000333ED"/>
    <w:rsid w:val="00034091"/>
    <w:rsid w:val="00035142"/>
    <w:rsid w:val="00037261"/>
    <w:rsid w:val="00037332"/>
    <w:rsid w:val="00037524"/>
    <w:rsid w:val="0004124B"/>
    <w:rsid w:val="000412D7"/>
    <w:rsid w:val="00041BFD"/>
    <w:rsid w:val="00042015"/>
    <w:rsid w:val="0004480B"/>
    <w:rsid w:val="00044E70"/>
    <w:rsid w:val="00045ACD"/>
    <w:rsid w:val="00046306"/>
    <w:rsid w:val="000473D3"/>
    <w:rsid w:val="000478D0"/>
    <w:rsid w:val="00050A41"/>
    <w:rsid w:val="0005115A"/>
    <w:rsid w:val="00051535"/>
    <w:rsid w:val="00053E5B"/>
    <w:rsid w:val="0005471A"/>
    <w:rsid w:val="00054B30"/>
    <w:rsid w:val="000554EC"/>
    <w:rsid w:val="00055738"/>
    <w:rsid w:val="00057317"/>
    <w:rsid w:val="000601F1"/>
    <w:rsid w:val="0006029C"/>
    <w:rsid w:val="0006072D"/>
    <w:rsid w:val="00061297"/>
    <w:rsid w:val="00063D44"/>
    <w:rsid w:val="00064579"/>
    <w:rsid w:val="00065795"/>
    <w:rsid w:val="00066A6F"/>
    <w:rsid w:val="00066DF4"/>
    <w:rsid w:val="000702CC"/>
    <w:rsid w:val="00070EC3"/>
    <w:rsid w:val="00071DC3"/>
    <w:rsid w:val="00075CA1"/>
    <w:rsid w:val="0007677F"/>
    <w:rsid w:val="00077E59"/>
    <w:rsid w:val="00080404"/>
    <w:rsid w:val="000808A8"/>
    <w:rsid w:val="00080C70"/>
    <w:rsid w:val="0008260C"/>
    <w:rsid w:val="00083248"/>
    <w:rsid w:val="00084142"/>
    <w:rsid w:val="00084677"/>
    <w:rsid w:val="00086090"/>
    <w:rsid w:val="00086E1B"/>
    <w:rsid w:val="00086E59"/>
    <w:rsid w:val="0009019A"/>
    <w:rsid w:val="0009034F"/>
    <w:rsid w:val="00090377"/>
    <w:rsid w:val="00090D76"/>
    <w:rsid w:val="00091C0D"/>
    <w:rsid w:val="000928F4"/>
    <w:rsid w:val="00092CC8"/>
    <w:rsid w:val="00093850"/>
    <w:rsid w:val="000947F8"/>
    <w:rsid w:val="00094D23"/>
    <w:rsid w:val="00094ED2"/>
    <w:rsid w:val="000A0DDB"/>
    <w:rsid w:val="000A246F"/>
    <w:rsid w:val="000A552C"/>
    <w:rsid w:val="000B0E99"/>
    <w:rsid w:val="000B25E3"/>
    <w:rsid w:val="000B285A"/>
    <w:rsid w:val="000B3268"/>
    <w:rsid w:val="000B3505"/>
    <w:rsid w:val="000B460B"/>
    <w:rsid w:val="000B50B1"/>
    <w:rsid w:val="000B7A3E"/>
    <w:rsid w:val="000B7F29"/>
    <w:rsid w:val="000C0E16"/>
    <w:rsid w:val="000C12AA"/>
    <w:rsid w:val="000C1430"/>
    <w:rsid w:val="000C492C"/>
    <w:rsid w:val="000C4E45"/>
    <w:rsid w:val="000C4EB9"/>
    <w:rsid w:val="000C57EB"/>
    <w:rsid w:val="000C5863"/>
    <w:rsid w:val="000C5EC6"/>
    <w:rsid w:val="000C65CA"/>
    <w:rsid w:val="000C6849"/>
    <w:rsid w:val="000D0176"/>
    <w:rsid w:val="000D0D1F"/>
    <w:rsid w:val="000D1490"/>
    <w:rsid w:val="000D15A2"/>
    <w:rsid w:val="000D1A43"/>
    <w:rsid w:val="000D24BA"/>
    <w:rsid w:val="000D2C47"/>
    <w:rsid w:val="000D5E3A"/>
    <w:rsid w:val="000D6704"/>
    <w:rsid w:val="000D6DE4"/>
    <w:rsid w:val="000D7ECE"/>
    <w:rsid w:val="000E17CC"/>
    <w:rsid w:val="000E2962"/>
    <w:rsid w:val="000E2FEE"/>
    <w:rsid w:val="000E4479"/>
    <w:rsid w:val="000E46C8"/>
    <w:rsid w:val="000E5AF5"/>
    <w:rsid w:val="000E6B64"/>
    <w:rsid w:val="000E7CA3"/>
    <w:rsid w:val="000F08DD"/>
    <w:rsid w:val="000F1617"/>
    <w:rsid w:val="000F1F57"/>
    <w:rsid w:val="000F3024"/>
    <w:rsid w:val="000F3145"/>
    <w:rsid w:val="000F3182"/>
    <w:rsid w:val="000F3546"/>
    <w:rsid w:val="000F3C3E"/>
    <w:rsid w:val="000F4898"/>
    <w:rsid w:val="000F4B89"/>
    <w:rsid w:val="000F5724"/>
    <w:rsid w:val="000F6485"/>
    <w:rsid w:val="00100FCE"/>
    <w:rsid w:val="00101F6B"/>
    <w:rsid w:val="00102B82"/>
    <w:rsid w:val="0010315B"/>
    <w:rsid w:val="00104601"/>
    <w:rsid w:val="001046A2"/>
    <w:rsid w:val="00104858"/>
    <w:rsid w:val="001053C7"/>
    <w:rsid w:val="00106BBF"/>
    <w:rsid w:val="00112124"/>
    <w:rsid w:val="00112F4C"/>
    <w:rsid w:val="001140C1"/>
    <w:rsid w:val="001142D8"/>
    <w:rsid w:val="0011593E"/>
    <w:rsid w:val="00116A29"/>
    <w:rsid w:val="00117791"/>
    <w:rsid w:val="00117B81"/>
    <w:rsid w:val="00120B35"/>
    <w:rsid w:val="001227B6"/>
    <w:rsid w:val="00123209"/>
    <w:rsid w:val="00125BB0"/>
    <w:rsid w:val="00126075"/>
    <w:rsid w:val="00127478"/>
    <w:rsid w:val="00130698"/>
    <w:rsid w:val="001320B3"/>
    <w:rsid w:val="00132BB4"/>
    <w:rsid w:val="0013443D"/>
    <w:rsid w:val="001413E5"/>
    <w:rsid w:val="0014267E"/>
    <w:rsid w:val="0014323B"/>
    <w:rsid w:val="0014359B"/>
    <w:rsid w:val="001441AA"/>
    <w:rsid w:val="001449FE"/>
    <w:rsid w:val="00145E92"/>
    <w:rsid w:val="00147372"/>
    <w:rsid w:val="001500E6"/>
    <w:rsid w:val="00151102"/>
    <w:rsid w:val="00152146"/>
    <w:rsid w:val="00152522"/>
    <w:rsid w:val="00152B9C"/>
    <w:rsid w:val="001532B5"/>
    <w:rsid w:val="00153E48"/>
    <w:rsid w:val="00154721"/>
    <w:rsid w:val="00154764"/>
    <w:rsid w:val="00154980"/>
    <w:rsid w:val="00161CB9"/>
    <w:rsid w:val="0016214A"/>
    <w:rsid w:val="00163D52"/>
    <w:rsid w:val="00163E94"/>
    <w:rsid w:val="00164196"/>
    <w:rsid w:val="00164451"/>
    <w:rsid w:val="0016455D"/>
    <w:rsid w:val="00164620"/>
    <w:rsid w:val="00166A72"/>
    <w:rsid w:val="001673FA"/>
    <w:rsid w:val="00167EDC"/>
    <w:rsid w:val="0017042B"/>
    <w:rsid w:val="0017094A"/>
    <w:rsid w:val="00172524"/>
    <w:rsid w:val="0017253C"/>
    <w:rsid w:val="00172A4D"/>
    <w:rsid w:val="00173463"/>
    <w:rsid w:val="00173959"/>
    <w:rsid w:val="0017407E"/>
    <w:rsid w:val="00174655"/>
    <w:rsid w:val="00175339"/>
    <w:rsid w:val="0017691F"/>
    <w:rsid w:val="00177135"/>
    <w:rsid w:val="00177C53"/>
    <w:rsid w:val="001801FE"/>
    <w:rsid w:val="00180B7D"/>
    <w:rsid w:val="001810C3"/>
    <w:rsid w:val="001815FA"/>
    <w:rsid w:val="0018166A"/>
    <w:rsid w:val="00181CE0"/>
    <w:rsid w:val="001823DA"/>
    <w:rsid w:val="00182435"/>
    <w:rsid w:val="00182453"/>
    <w:rsid w:val="0018256E"/>
    <w:rsid w:val="00184249"/>
    <w:rsid w:val="00184D60"/>
    <w:rsid w:val="001850EE"/>
    <w:rsid w:val="001854EE"/>
    <w:rsid w:val="001855C3"/>
    <w:rsid w:val="00185B4E"/>
    <w:rsid w:val="001864E4"/>
    <w:rsid w:val="00186EB7"/>
    <w:rsid w:val="00187A45"/>
    <w:rsid w:val="00187EB8"/>
    <w:rsid w:val="001911C4"/>
    <w:rsid w:val="00191F22"/>
    <w:rsid w:val="00192AAC"/>
    <w:rsid w:val="001955F6"/>
    <w:rsid w:val="00195CB3"/>
    <w:rsid w:val="00196E56"/>
    <w:rsid w:val="001972B2"/>
    <w:rsid w:val="00197585"/>
    <w:rsid w:val="00197EFA"/>
    <w:rsid w:val="001A09FA"/>
    <w:rsid w:val="001A0C74"/>
    <w:rsid w:val="001A33D8"/>
    <w:rsid w:val="001A4936"/>
    <w:rsid w:val="001A5271"/>
    <w:rsid w:val="001A5943"/>
    <w:rsid w:val="001B048B"/>
    <w:rsid w:val="001B3505"/>
    <w:rsid w:val="001B39FC"/>
    <w:rsid w:val="001B4AB2"/>
    <w:rsid w:val="001B6BFD"/>
    <w:rsid w:val="001B6CDA"/>
    <w:rsid w:val="001B75A1"/>
    <w:rsid w:val="001C172E"/>
    <w:rsid w:val="001C4111"/>
    <w:rsid w:val="001C5308"/>
    <w:rsid w:val="001C58B4"/>
    <w:rsid w:val="001C6FB9"/>
    <w:rsid w:val="001D0382"/>
    <w:rsid w:val="001D05AA"/>
    <w:rsid w:val="001D0A0E"/>
    <w:rsid w:val="001D1B6D"/>
    <w:rsid w:val="001D2FFA"/>
    <w:rsid w:val="001D4B6E"/>
    <w:rsid w:val="001D6527"/>
    <w:rsid w:val="001D7B91"/>
    <w:rsid w:val="001E0448"/>
    <w:rsid w:val="001E0657"/>
    <w:rsid w:val="001E0B28"/>
    <w:rsid w:val="001E142A"/>
    <w:rsid w:val="001E1CBD"/>
    <w:rsid w:val="001E1DED"/>
    <w:rsid w:val="001E213C"/>
    <w:rsid w:val="001E3D84"/>
    <w:rsid w:val="001E3F4C"/>
    <w:rsid w:val="001E49F4"/>
    <w:rsid w:val="001E5E14"/>
    <w:rsid w:val="001E5FB2"/>
    <w:rsid w:val="001E6AC2"/>
    <w:rsid w:val="001E742F"/>
    <w:rsid w:val="001E7E8F"/>
    <w:rsid w:val="001F05FF"/>
    <w:rsid w:val="001F16EC"/>
    <w:rsid w:val="001F2934"/>
    <w:rsid w:val="001F342F"/>
    <w:rsid w:val="001F58CB"/>
    <w:rsid w:val="001F6113"/>
    <w:rsid w:val="001F6691"/>
    <w:rsid w:val="00200BAC"/>
    <w:rsid w:val="002019A0"/>
    <w:rsid w:val="00202065"/>
    <w:rsid w:val="00202EA6"/>
    <w:rsid w:val="00204C11"/>
    <w:rsid w:val="002053EA"/>
    <w:rsid w:val="00205F57"/>
    <w:rsid w:val="00206937"/>
    <w:rsid w:val="00206E28"/>
    <w:rsid w:val="00210B3A"/>
    <w:rsid w:val="00210E0C"/>
    <w:rsid w:val="00214695"/>
    <w:rsid w:val="00217BBE"/>
    <w:rsid w:val="00220929"/>
    <w:rsid w:val="00221F32"/>
    <w:rsid w:val="00223654"/>
    <w:rsid w:val="0022388C"/>
    <w:rsid w:val="00223A21"/>
    <w:rsid w:val="00224D67"/>
    <w:rsid w:val="00224DE7"/>
    <w:rsid w:val="00225D8E"/>
    <w:rsid w:val="00226063"/>
    <w:rsid w:val="00230530"/>
    <w:rsid w:val="0023092A"/>
    <w:rsid w:val="00231BC4"/>
    <w:rsid w:val="00231C2A"/>
    <w:rsid w:val="00233116"/>
    <w:rsid w:val="002342EC"/>
    <w:rsid w:val="00234933"/>
    <w:rsid w:val="00234BBE"/>
    <w:rsid w:val="0023539D"/>
    <w:rsid w:val="002361C3"/>
    <w:rsid w:val="002366A9"/>
    <w:rsid w:val="00236A94"/>
    <w:rsid w:val="0023718C"/>
    <w:rsid w:val="00237350"/>
    <w:rsid w:val="0024032F"/>
    <w:rsid w:val="00241ED3"/>
    <w:rsid w:val="002428EA"/>
    <w:rsid w:val="002431A3"/>
    <w:rsid w:val="00244857"/>
    <w:rsid w:val="00244975"/>
    <w:rsid w:val="002509B3"/>
    <w:rsid w:val="00250F6A"/>
    <w:rsid w:val="002528D9"/>
    <w:rsid w:val="00253DCB"/>
    <w:rsid w:val="00255995"/>
    <w:rsid w:val="00256202"/>
    <w:rsid w:val="00256E0D"/>
    <w:rsid w:val="0025710E"/>
    <w:rsid w:val="002576D0"/>
    <w:rsid w:val="00260818"/>
    <w:rsid w:val="0026095B"/>
    <w:rsid w:val="002618F2"/>
    <w:rsid w:val="00262446"/>
    <w:rsid w:val="00262CD7"/>
    <w:rsid w:val="00264AAD"/>
    <w:rsid w:val="00264F4B"/>
    <w:rsid w:val="002658B8"/>
    <w:rsid w:val="002667A8"/>
    <w:rsid w:val="00270B7C"/>
    <w:rsid w:val="0027488E"/>
    <w:rsid w:val="00274AAC"/>
    <w:rsid w:val="002762AA"/>
    <w:rsid w:val="00276B69"/>
    <w:rsid w:val="00277912"/>
    <w:rsid w:val="00277CF2"/>
    <w:rsid w:val="0028064B"/>
    <w:rsid w:val="00280F4D"/>
    <w:rsid w:val="00280F71"/>
    <w:rsid w:val="00281A57"/>
    <w:rsid w:val="00282828"/>
    <w:rsid w:val="002838EA"/>
    <w:rsid w:val="00283B61"/>
    <w:rsid w:val="0028435C"/>
    <w:rsid w:val="00284A31"/>
    <w:rsid w:val="002858C9"/>
    <w:rsid w:val="002862CD"/>
    <w:rsid w:val="00287884"/>
    <w:rsid w:val="00287B0E"/>
    <w:rsid w:val="00291E2C"/>
    <w:rsid w:val="002928A2"/>
    <w:rsid w:val="002930B0"/>
    <w:rsid w:val="002941DC"/>
    <w:rsid w:val="00294D97"/>
    <w:rsid w:val="002955C4"/>
    <w:rsid w:val="00295EB2"/>
    <w:rsid w:val="002962EC"/>
    <w:rsid w:val="00296895"/>
    <w:rsid w:val="00297252"/>
    <w:rsid w:val="00297D38"/>
    <w:rsid w:val="002A0080"/>
    <w:rsid w:val="002A0C11"/>
    <w:rsid w:val="002A1861"/>
    <w:rsid w:val="002A1927"/>
    <w:rsid w:val="002A2B58"/>
    <w:rsid w:val="002A2E89"/>
    <w:rsid w:val="002A47F7"/>
    <w:rsid w:val="002A6AD2"/>
    <w:rsid w:val="002A75FB"/>
    <w:rsid w:val="002B164D"/>
    <w:rsid w:val="002B22BE"/>
    <w:rsid w:val="002B6991"/>
    <w:rsid w:val="002B6AF2"/>
    <w:rsid w:val="002B6C0C"/>
    <w:rsid w:val="002C0368"/>
    <w:rsid w:val="002C068D"/>
    <w:rsid w:val="002C0906"/>
    <w:rsid w:val="002C0B42"/>
    <w:rsid w:val="002C2966"/>
    <w:rsid w:val="002C335C"/>
    <w:rsid w:val="002C4332"/>
    <w:rsid w:val="002C4B85"/>
    <w:rsid w:val="002C4C73"/>
    <w:rsid w:val="002C6725"/>
    <w:rsid w:val="002D00B4"/>
    <w:rsid w:val="002D42E1"/>
    <w:rsid w:val="002D44DE"/>
    <w:rsid w:val="002D492A"/>
    <w:rsid w:val="002D555D"/>
    <w:rsid w:val="002D725F"/>
    <w:rsid w:val="002D785D"/>
    <w:rsid w:val="002E2047"/>
    <w:rsid w:val="002E383D"/>
    <w:rsid w:val="002E41C9"/>
    <w:rsid w:val="002E4CF2"/>
    <w:rsid w:val="002E5064"/>
    <w:rsid w:val="002F13D1"/>
    <w:rsid w:val="002F19BA"/>
    <w:rsid w:val="002F33B4"/>
    <w:rsid w:val="002F392A"/>
    <w:rsid w:val="002F4165"/>
    <w:rsid w:val="002F4BEA"/>
    <w:rsid w:val="002F4E23"/>
    <w:rsid w:val="002F5CA2"/>
    <w:rsid w:val="002F645D"/>
    <w:rsid w:val="002F652B"/>
    <w:rsid w:val="003006CE"/>
    <w:rsid w:val="00300EDA"/>
    <w:rsid w:val="00301ACD"/>
    <w:rsid w:val="00301FF3"/>
    <w:rsid w:val="00302D8F"/>
    <w:rsid w:val="00302EF6"/>
    <w:rsid w:val="0030360C"/>
    <w:rsid w:val="00303F86"/>
    <w:rsid w:val="00304275"/>
    <w:rsid w:val="00305A75"/>
    <w:rsid w:val="00306822"/>
    <w:rsid w:val="00306BD3"/>
    <w:rsid w:val="00306D7A"/>
    <w:rsid w:val="00307789"/>
    <w:rsid w:val="00307B1A"/>
    <w:rsid w:val="00307B37"/>
    <w:rsid w:val="00313568"/>
    <w:rsid w:val="00315AE7"/>
    <w:rsid w:val="00316AA2"/>
    <w:rsid w:val="00321031"/>
    <w:rsid w:val="003249C7"/>
    <w:rsid w:val="00324D1E"/>
    <w:rsid w:val="0032799F"/>
    <w:rsid w:val="0033044E"/>
    <w:rsid w:val="00330825"/>
    <w:rsid w:val="00330B01"/>
    <w:rsid w:val="00330CF9"/>
    <w:rsid w:val="00332B0A"/>
    <w:rsid w:val="00334E72"/>
    <w:rsid w:val="00335DAE"/>
    <w:rsid w:val="0033612A"/>
    <w:rsid w:val="003363FF"/>
    <w:rsid w:val="00336727"/>
    <w:rsid w:val="00336BB1"/>
    <w:rsid w:val="00340134"/>
    <w:rsid w:val="003420F6"/>
    <w:rsid w:val="00342671"/>
    <w:rsid w:val="003446F5"/>
    <w:rsid w:val="00344B57"/>
    <w:rsid w:val="00345610"/>
    <w:rsid w:val="00345948"/>
    <w:rsid w:val="003461A3"/>
    <w:rsid w:val="003478D7"/>
    <w:rsid w:val="00351BCA"/>
    <w:rsid w:val="00351BD0"/>
    <w:rsid w:val="0035201D"/>
    <w:rsid w:val="003549A3"/>
    <w:rsid w:val="003553A0"/>
    <w:rsid w:val="0035622F"/>
    <w:rsid w:val="003567F8"/>
    <w:rsid w:val="00357A0C"/>
    <w:rsid w:val="003631B7"/>
    <w:rsid w:val="00363C5C"/>
    <w:rsid w:val="003651FD"/>
    <w:rsid w:val="00365A58"/>
    <w:rsid w:val="0036600C"/>
    <w:rsid w:val="0036616C"/>
    <w:rsid w:val="00373E56"/>
    <w:rsid w:val="003749F1"/>
    <w:rsid w:val="0037511E"/>
    <w:rsid w:val="003769F0"/>
    <w:rsid w:val="00383101"/>
    <w:rsid w:val="00383CF6"/>
    <w:rsid w:val="00383FDE"/>
    <w:rsid w:val="0038591C"/>
    <w:rsid w:val="003879B3"/>
    <w:rsid w:val="00390AEE"/>
    <w:rsid w:val="00390F24"/>
    <w:rsid w:val="00391AEF"/>
    <w:rsid w:val="00392763"/>
    <w:rsid w:val="0039366B"/>
    <w:rsid w:val="0039383F"/>
    <w:rsid w:val="00394AE6"/>
    <w:rsid w:val="00394D5C"/>
    <w:rsid w:val="0039739D"/>
    <w:rsid w:val="003978A6"/>
    <w:rsid w:val="003A0D2F"/>
    <w:rsid w:val="003A1062"/>
    <w:rsid w:val="003A1530"/>
    <w:rsid w:val="003A2443"/>
    <w:rsid w:val="003A3E97"/>
    <w:rsid w:val="003A3F9C"/>
    <w:rsid w:val="003A45CF"/>
    <w:rsid w:val="003A5F4C"/>
    <w:rsid w:val="003A6CBF"/>
    <w:rsid w:val="003A75AB"/>
    <w:rsid w:val="003B037E"/>
    <w:rsid w:val="003B073A"/>
    <w:rsid w:val="003B18B0"/>
    <w:rsid w:val="003B2E7F"/>
    <w:rsid w:val="003B3F62"/>
    <w:rsid w:val="003B3FE3"/>
    <w:rsid w:val="003B433E"/>
    <w:rsid w:val="003B4A94"/>
    <w:rsid w:val="003B5D2A"/>
    <w:rsid w:val="003B5F0D"/>
    <w:rsid w:val="003B71E1"/>
    <w:rsid w:val="003B7ADD"/>
    <w:rsid w:val="003C0360"/>
    <w:rsid w:val="003C159E"/>
    <w:rsid w:val="003C302C"/>
    <w:rsid w:val="003C5AC2"/>
    <w:rsid w:val="003C672C"/>
    <w:rsid w:val="003C73B0"/>
    <w:rsid w:val="003C7BAB"/>
    <w:rsid w:val="003D0065"/>
    <w:rsid w:val="003D09B1"/>
    <w:rsid w:val="003D2374"/>
    <w:rsid w:val="003D39E6"/>
    <w:rsid w:val="003D4604"/>
    <w:rsid w:val="003D59AD"/>
    <w:rsid w:val="003D684E"/>
    <w:rsid w:val="003E12EA"/>
    <w:rsid w:val="003E2E02"/>
    <w:rsid w:val="003E3A65"/>
    <w:rsid w:val="003E4AF4"/>
    <w:rsid w:val="003E4C2F"/>
    <w:rsid w:val="003E6105"/>
    <w:rsid w:val="003E77AD"/>
    <w:rsid w:val="003F029D"/>
    <w:rsid w:val="003F0E47"/>
    <w:rsid w:val="003F16D1"/>
    <w:rsid w:val="003F2002"/>
    <w:rsid w:val="003F47E9"/>
    <w:rsid w:val="003F6331"/>
    <w:rsid w:val="003F638A"/>
    <w:rsid w:val="003F74AC"/>
    <w:rsid w:val="003F7C2E"/>
    <w:rsid w:val="004004FD"/>
    <w:rsid w:val="00401111"/>
    <w:rsid w:val="0040151A"/>
    <w:rsid w:val="00402584"/>
    <w:rsid w:val="00402F53"/>
    <w:rsid w:val="00403A10"/>
    <w:rsid w:val="004046FF"/>
    <w:rsid w:val="0040497E"/>
    <w:rsid w:val="00405426"/>
    <w:rsid w:val="0040595F"/>
    <w:rsid w:val="00407953"/>
    <w:rsid w:val="0041139A"/>
    <w:rsid w:val="00411E62"/>
    <w:rsid w:val="00412C38"/>
    <w:rsid w:val="00412DBD"/>
    <w:rsid w:val="0041320B"/>
    <w:rsid w:val="00414BCD"/>
    <w:rsid w:val="00414D29"/>
    <w:rsid w:val="004165BF"/>
    <w:rsid w:val="00417227"/>
    <w:rsid w:val="00420D63"/>
    <w:rsid w:val="00420DE6"/>
    <w:rsid w:val="0042198B"/>
    <w:rsid w:val="004226E0"/>
    <w:rsid w:val="0042278E"/>
    <w:rsid w:val="004237B5"/>
    <w:rsid w:val="004247E9"/>
    <w:rsid w:val="004248F5"/>
    <w:rsid w:val="00425181"/>
    <w:rsid w:val="00426409"/>
    <w:rsid w:val="00427271"/>
    <w:rsid w:val="004308ED"/>
    <w:rsid w:val="00431B01"/>
    <w:rsid w:val="004341E0"/>
    <w:rsid w:val="004341EC"/>
    <w:rsid w:val="0043495D"/>
    <w:rsid w:val="004355E6"/>
    <w:rsid w:val="004370B4"/>
    <w:rsid w:val="004376A3"/>
    <w:rsid w:val="00440760"/>
    <w:rsid w:val="00440B84"/>
    <w:rsid w:val="0044472E"/>
    <w:rsid w:val="00444EDB"/>
    <w:rsid w:val="00445D03"/>
    <w:rsid w:val="00446751"/>
    <w:rsid w:val="004469DD"/>
    <w:rsid w:val="00447EF4"/>
    <w:rsid w:val="00451B4F"/>
    <w:rsid w:val="0045287F"/>
    <w:rsid w:val="00453124"/>
    <w:rsid w:val="0046099F"/>
    <w:rsid w:val="00460F61"/>
    <w:rsid w:val="00461AB8"/>
    <w:rsid w:val="00462502"/>
    <w:rsid w:val="004626DB"/>
    <w:rsid w:val="0046479D"/>
    <w:rsid w:val="0046614E"/>
    <w:rsid w:val="004672A1"/>
    <w:rsid w:val="00467CC0"/>
    <w:rsid w:val="00470DC6"/>
    <w:rsid w:val="00472CBF"/>
    <w:rsid w:val="0047366B"/>
    <w:rsid w:val="004739FE"/>
    <w:rsid w:val="004741A5"/>
    <w:rsid w:val="00475680"/>
    <w:rsid w:val="00475A96"/>
    <w:rsid w:val="004774A3"/>
    <w:rsid w:val="00477522"/>
    <w:rsid w:val="0048042A"/>
    <w:rsid w:val="004808DA"/>
    <w:rsid w:val="00481BA7"/>
    <w:rsid w:val="00482004"/>
    <w:rsid w:val="0048259A"/>
    <w:rsid w:val="00482C54"/>
    <w:rsid w:val="00482C59"/>
    <w:rsid w:val="00482E70"/>
    <w:rsid w:val="004834ED"/>
    <w:rsid w:val="004837F0"/>
    <w:rsid w:val="0048582E"/>
    <w:rsid w:val="004876A5"/>
    <w:rsid w:val="00487DDC"/>
    <w:rsid w:val="00487E19"/>
    <w:rsid w:val="00487E57"/>
    <w:rsid w:val="004905BF"/>
    <w:rsid w:val="00492312"/>
    <w:rsid w:val="00494EAC"/>
    <w:rsid w:val="00496052"/>
    <w:rsid w:val="00497256"/>
    <w:rsid w:val="00497ED7"/>
    <w:rsid w:val="004A0388"/>
    <w:rsid w:val="004A08B8"/>
    <w:rsid w:val="004A2282"/>
    <w:rsid w:val="004A33D6"/>
    <w:rsid w:val="004A40BE"/>
    <w:rsid w:val="004A4275"/>
    <w:rsid w:val="004A51E6"/>
    <w:rsid w:val="004A5BFF"/>
    <w:rsid w:val="004B0D89"/>
    <w:rsid w:val="004B1F49"/>
    <w:rsid w:val="004B323C"/>
    <w:rsid w:val="004B3579"/>
    <w:rsid w:val="004B4455"/>
    <w:rsid w:val="004B5670"/>
    <w:rsid w:val="004B6EC5"/>
    <w:rsid w:val="004C02FC"/>
    <w:rsid w:val="004C0870"/>
    <w:rsid w:val="004C0D6F"/>
    <w:rsid w:val="004C2AAE"/>
    <w:rsid w:val="004C4928"/>
    <w:rsid w:val="004D043C"/>
    <w:rsid w:val="004D1113"/>
    <w:rsid w:val="004D13E7"/>
    <w:rsid w:val="004D2118"/>
    <w:rsid w:val="004D313E"/>
    <w:rsid w:val="004D3F25"/>
    <w:rsid w:val="004D49A1"/>
    <w:rsid w:val="004D4EE7"/>
    <w:rsid w:val="004D576A"/>
    <w:rsid w:val="004D5B18"/>
    <w:rsid w:val="004D711C"/>
    <w:rsid w:val="004D7243"/>
    <w:rsid w:val="004D7450"/>
    <w:rsid w:val="004D7DA9"/>
    <w:rsid w:val="004E071B"/>
    <w:rsid w:val="004E13DF"/>
    <w:rsid w:val="004E1BF2"/>
    <w:rsid w:val="004E21C7"/>
    <w:rsid w:val="004E3C42"/>
    <w:rsid w:val="004E4AFF"/>
    <w:rsid w:val="004E54E9"/>
    <w:rsid w:val="004E5A72"/>
    <w:rsid w:val="004E64E5"/>
    <w:rsid w:val="004F0B0C"/>
    <w:rsid w:val="004F0FC3"/>
    <w:rsid w:val="004F1EDF"/>
    <w:rsid w:val="004F1F96"/>
    <w:rsid w:val="004F2D95"/>
    <w:rsid w:val="004F2DFB"/>
    <w:rsid w:val="004F3A00"/>
    <w:rsid w:val="004F50CC"/>
    <w:rsid w:val="0050040E"/>
    <w:rsid w:val="005032F4"/>
    <w:rsid w:val="00504139"/>
    <w:rsid w:val="00506216"/>
    <w:rsid w:val="005073C7"/>
    <w:rsid w:val="00510DB9"/>
    <w:rsid w:val="00510DDC"/>
    <w:rsid w:val="00510F1A"/>
    <w:rsid w:val="00511C76"/>
    <w:rsid w:val="00512CEC"/>
    <w:rsid w:val="00513DBA"/>
    <w:rsid w:val="00515373"/>
    <w:rsid w:val="00515934"/>
    <w:rsid w:val="00517773"/>
    <w:rsid w:val="00517B85"/>
    <w:rsid w:val="00520EEA"/>
    <w:rsid w:val="0052235F"/>
    <w:rsid w:val="005252C4"/>
    <w:rsid w:val="00525425"/>
    <w:rsid w:val="005265DD"/>
    <w:rsid w:val="00526E53"/>
    <w:rsid w:val="00526F30"/>
    <w:rsid w:val="00530DDB"/>
    <w:rsid w:val="00533310"/>
    <w:rsid w:val="00533896"/>
    <w:rsid w:val="00535358"/>
    <w:rsid w:val="00535489"/>
    <w:rsid w:val="005358FD"/>
    <w:rsid w:val="00537331"/>
    <w:rsid w:val="00537757"/>
    <w:rsid w:val="005379B9"/>
    <w:rsid w:val="00540621"/>
    <w:rsid w:val="00541BD9"/>
    <w:rsid w:val="00541D03"/>
    <w:rsid w:val="00541DB3"/>
    <w:rsid w:val="005435D9"/>
    <w:rsid w:val="00544273"/>
    <w:rsid w:val="00545419"/>
    <w:rsid w:val="00545B8D"/>
    <w:rsid w:val="00547BFF"/>
    <w:rsid w:val="00550506"/>
    <w:rsid w:val="00552FFB"/>
    <w:rsid w:val="00553888"/>
    <w:rsid w:val="00553F1F"/>
    <w:rsid w:val="00554F22"/>
    <w:rsid w:val="005554D4"/>
    <w:rsid w:val="00555785"/>
    <w:rsid w:val="0055579D"/>
    <w:rsid w:val="00556198"/>
    <w:rsid w:val="00561532"/>
    <w:rsid w:val="0056207E"/>
    <w:rsid w:val="00562A61"/>
    <w:rsid w:val="005631D4"/>
    <w:rsid w:val="005632FF"/>
    <w:rsid w:val="00563C80"/>
    <w:rsid w:val="00563E73"/>
    <w:rsid w:val="00566717"/>
    <w:rsid w:val="00566C73"/>
    <w:rsid w:val="00574788"/>
    <w:rsid w:val="005751EE"/>
    <w:rsid w:val="0057540D"/>
    <w:rsid w:val="005766DE"/>
    <w:rsid w:val="005769FE"/>
    <w:rsid w:val="00576E14"/>
    <w:rsid w:val="0058054A"/>
    <w:rsid w:val="005813CE"/>
    <w:rsid w:val="00583944"/>
    <w:rsid w:val="00583A44"/>
    <w:rsid w:val="00583E14"/>
    <w:rsid w:val="00584A6D"/>
    <w:rsid w:val="005857D5"/>
    <w:rsid w:val="005901E1"/>
    <w:rsid w:val="00590F2D"/>
    <w:rsid w:val="00593AF0"/>
    <w:rsid w:val="00594B95"/>
    <w:rsid w:val="00594E31"/>
    <w:rsid w:val="0059665C"/>
    <w:rsid w:val="005971E7"/>
    <w:rsid w:val="00597DEA"/>
    <w:rsid w:val="005A0BDC"/>
    <w:rsid w:val="005A1BF2"/>
    <w:rsid w:val="005A23A5"/>
    <w:rsid w:val="005A384C"/>
    <w:rsid w:val="005A3FBD"/>
    <w:rsid w:val="005A77A8"/>
    <w:rsid w:val="005B0771"/>
    <w:rsid w:val="005B1585"/>
    <w:rsid w:val="005B1694"/>
    <w:rsid w:val="005B1B37"/>
    <w:rsid w:val="005B2C09"/>
    <w:rsid w:val="005B31D3"/>
    <w:rsid w:val="005B3845"/>
    <w:rsid w:val="005B4DE2"/>
    <w:rsid w:val="005B6560"/>
    <w:rsid w:val="005B6587"/>
    <w:rsid w:val="005C2F41"/>
    <w:rsid w:val="005C43B7"/>
    <w:rsid w:val="005C45A2"/>
    <w:rsid w:val="005C4911"/>
    <w:rsid w:val="005C4C57"/>
    <w:rsid w:val="005D0EFA"/>
    <w:rsid w:val="005D10BF"/>
    <w:rsid w:val="005D10F8"/>
    <w:rsid w:val="005D168E"/>
    <w:rsid w:val="005D19B8"/>
    <w:rsid w:val="005D2529"/>
    <w:rsid w:val="005D263D"/>
    <w:rsid w:val="005D3069"/>
    <w:rsid w:val="005D6C89"/>
    <w:rsid w:val="005D6C98"/>
    <w:rsid w:val="005E2DE3"/>
    <w:rsid w:val="005E5E99"/>
    <w:rsid w:val="005E6F3A"/>
    <w:rsid w:val="005E7334"/>
    <w:rsid w:val="005E748B"/>
    <w:rsid w:val="005F0B8A"/>
    <w:rsid w:val="005F114A"/>
    <w:rsid w:val="005F1406"/>
    <w:rsid w:val="005F16F8"/>
    <w:rsid w:val="005F241C"/>
    <w:rsid w:val="005F2837"/>
    <w:rsid w:val="005F454F"/>
    <w:rsid w:val="005F7880"/>
    <w:rsid w:val="005F7B75"/>
    <w:rsid w:val="005F7CE7"/>
    <w:rsid w:val="00601C88"/>
    <w:rsid w:val="00602601"/>
    <w:rsid w:val="00602699"/>
    <w:rsid w:val="006026F7"/>
    <w:rsid w:val="00603647"/>
    <w:rsid w:val="00603651"/>
    <w:rsid w:val="0060382B"/>
    <w:rsid w:val="00604882"/>
    <w:rsid w:val="00604ED2"/>
    <w:rsid w:val="0060609A"/>
    <w:rsid w:val="00606E25"/>
    <w:rsid w:val="006075A0"/>
    <w:rsid w:val="00611FF6"/>
    <w:rsid w:val="00612090"/>
    <w:rsid w:val="00613099"/>
    <w:rsid w:val="00614811"/>
    <w:rsid w:val="0061525F"/>
    <w:rsid w:val="006153F3"/>
    <w:rsid w:val="0061625A"/>
    <w:rsid w:val="00616998"/>
    <w:rsid w:val="00620841"/>
    <w:rsid w:val="006224DF"/>
    <w:rsid w:val="006229D7"/>
    <w:rsid w:val="00623D6E"/>
    <w:rsid w:val="00623FA7"/>
    <w:rsid w:val="00624F56"/>
    <w:rsid w:val="00625A4D"/>
    <w:rsid w:val="006266CD"/>
    <w:rsid w:val="0062671B"/>
    <w:rsid w:val="00630CA6"/>
    <w:rsid w:val="0063144F"/>
    <w:rsid w:val="00632BCE"/>
    <w:rsid w:val="00632CBB"/>
    <w:rsid w:val="0063447C"/>
    <w:rsid w:val="00636BEF"/>
    <w:rsid w:val="00640111"/>
    <w:rsid w:val="0064068C"/>
    <w:rsid w:val="006406F0"/>
    <w:rsid w:val="0064075B"/>
    <w:rsid w:val="00642169"/>
    <w:rsid w:val="00642A4D"/>
    <w:rsid w:val="00645417"/>
    <w:rsid w:val="0064780E"/>
    <w:rsid w:val="00647981"/>
    <w:rsid w:val="00651762"/>
    <w:rsid w:val="00653A79"/>
    <w:rsid w:val="00653EC5"/>
    <w:rsid w:val="00654A40"/>
    <w:rsid w:val="006575AF"/>
    <w:rsid w:val="00661699"/>
    <w:rsid w:val="0066253E"/>
    <w:rsid w:val="006626EE"/>
    <w:rsid w:val="006633B4"/>
    <w:rsid w:val="006635E8"/>
    <w:rsid w:val="00664205"/>
    <w:rsid w:val="00664425"/>
    <w:rsid w:val="00664F3C"/>
    <w:rsid w:val="00665E71"/>
    <w:rsid w:val="00666230"/>
    <w:rsid w:val="00666581"/>
    <w:rsid w:val="006711CE"/>
    <w:rsid w:val="00673540"/>
    <w:rsid w:val="00675204"/>
    <w:rsid w:val="00675453"/>
    <w:rsid w:val="006755CF"/>
    <w:rsid w:val="00675F63"/>
    <w:rsid w:val="006763DB"/>
    <w:rsid w:val="00676B03"/>
    <w:rsid w:val="00677DFB"/>
    <w:rsid w:val="00680D0E"/>
    <w:rsid w:val="00680E51"/>
    <w:rsid w:val="00682CB7"/>
    <w:rsid w:val="00682EA9"/>
    <w:rsid w:val="00683CBF"/>
    <w:rsid w:val="0068573A"/>
    <w:rsid w:val="00685B66"/>
    <w:rsid w:val="00690087"/>
    <w:rsid w:val="00690CFB"/>
    <w:rsid w:val="00692156"/>
    <w:rsid w:val="00692DB4"/>
    <w:rsid w:val="00695BF0"/>
    <w:rsid w:val="00696529"/>
    <w:rsid w:val="0069774C"/>
    <w:rsid w:val="00697998"/>
    <w:rsid w:val="006A0EF6"/>
    <w:rsid w:val="006A27CD"/>
    <w:rsid w:val="006A2C89"/>
    <w:rsid w:val="006A37BE"/>
    <w:rsid w:val="006A4039"/>
    <w:rsid w:val="006A42CB"/>
    <w:rsid w:val="006A5A4B"/>
    <w:rsid w:val="006A6A9D"/>
    <w:rsid w:val="006A79D8"/>
    <w:rsid w:val="006B0155"/>
    <w:rsid w:val="006B0368"/>
    <w:rsid w:val="006B05AE"/>
    <w:rsid w:val="006B0ED2"/>
    <w:rsid w:val="006B0F22"/>
    <w:rsid w:val="006B0F89"/>
    <w:rsid w:val="006B114F"/>
    <w:rsid w:val="006B1543"/>
    <w:rsid w:val="006B287B"/>
    <w:rsid w:val="006B2F30"/>
    <w:rsid w:val="006B34AA"/>
    <w:rsid w:val="006B37B4"/>
    <w:rsid w:val="006B3ED8"/>
    <w:rsid w:val="006B5919"/>
    <w:rsid w:val="006B5D14"/>
    <w:rsid w:val="006B6F07"/>
    <w:rsid w:val="006B750A"/>
    <w:rsid w:val="006C090E"/>
    <w:rsid w:val="006C1E14"/>
    <w:rsid w:val="006C2560"/>
    <w:rsid w:val="006C5041"/>
    <w:rsid w:val="006C72CA"/>
    <w:rsid w:val="006C7399"/>
    <w:rsid w:val="006C7B23"/>
    <w:rsid w:val="006D01FF"/>
    <w:rsid w:val="006D1ADA"/>
    <w:rsid w:val="006D1B3B"/>
    <w:rsid w:val="006D5914"/>
    <w:rsid w:val="006D6DA2"/>
    <w:rsid w:val="006E0015"/>
    <w:rsid w:val="006E1A0A"/>
    <w:rsid w:val="006F078D"/>
    <w:rsid w:val="006F0C04"/>
    <w:rsid w:val="006F30D0"/>
    <w:rsid w:val="006F5126"/>
    <w:rsid w:val="006F596E"/>
    <w:rsid w:val="006F6B81"/>
    <w:rsid w:val="006F6B9F"/>
    <w:rsid w:val="00700540"/>
    <w:rsid w:val="007005D5"/>
    <w:rsid w:val="0070152C"/>
    <w:rsid w:val="00702F56"/>
    <w:rsid w:val="007035EB"/>
    <w:rsid w:val="00704A40"/>
    <w:rsid w:val="007057D0"/>
    <w:rsid w:val="007057EA"/>
    <w:rsid w:val="007079E4"/>
    <w:rsid w:val="00710B1D"/>
    <w:rsid w:val="00711AF5"/>
    <w:rsid w:val="00712583"/>
    <w:rsid w:val="00712D15"/>
    <w:rsid w:val="00714915"/>
    <w:rsid w:val="007151F6"/>
    <w:rsid w:val="007156B8"/>
    <w:rsid w:val="00716929"/>
    <w:rsid w:val="00716F4A"/>
    <w:rsid w:val="00717173"/>
    <w:rsid w:val="0071750F"/>
    <w:rsid w:val="0072021D"/>
    <w:rsid w:val="0072065E"/>
    <w:rsid w:val="00721EBB"/>
    <w:rsid w:val="00722DED"/>
    <w:rsid w:val="007230D8"/>
    <w:rsid w:val="0072357B"/>
    <w:rsid w:val="00723C49"/>
    <w:rsid w:val="007276C0"/>
    <w:rsid w:val="00727B26"/>
    <w:rsid w:val="00727CF3"/>
    <w:rsid w:val="00730000"/>
    <w:rsid w:val="00730929"/>
    <w:rsid w:val="0073191B"/>
    <w:rsid w:val="00734E20"/>
    <w:rsid w:val="007361F6"/>
    <w:rsid w:val="00736F77"/>
    <w:rsid w:val="0074057F"/>
    <w:rsid w:val="0074103E"/>
    <w:rsid w:val="007419F4"/>
    <w:rsid w:val="00741EBB"/>
    <w:rsid w:val="00744D0B"/>
    <w:rsid w:val="00744F34"/>
    <w:rsid w:val="0074546B"/>
    <w:rsid w:val="0074611A"/>
    <w:rsid w:val="00746C09"/>
    <w:rsid w:val="00746DF7"/>
    <w:rsid w:val="00752CF4"/>
    <w:rsid w:val="007537FA"/>
    <w:rsid w:val="00753B21"/>
    <w:rsid w:val="00756425"/>
    <w:rsid w:val="0075742D"/>
    <w:rsid w:val="007576AB"/>
    <w:rsid w:val="00757C03"/>
    <w:rsid w:val="00760135"/>
    <w:rsid w:val="00760B42"/>
    <w:rsid w:val="0076162E"/>
    <w:rsid w:val="00762C68"/>
    <w:rsid w:val="00763880"/>
    <w:rsid w:val="007645FB"/>
    <w:rsid w:val="00765183"/>
    <w:rsid w:val="007658F7"/>
    <w:rsid w:val="00765C69"/>
    <w:rsid w:val="00766320"/>
    <w:rsid w:val="007676C1"/>
    <w:rsid w:val="00771D22"/>
    <w:rsid w:val="00773F26"/>
    <w:rsid w:val="00776096"/>
    <w:rsid w:val="00776FEA"/>
    <w:rsid w:val="0077705D"/>
    <w:rsid w:val="00777828"/>
    <w:rsid w:val="00777A7E"/>
    <w:rsid w:val="00777EA6"/>
    <w:rsid w:val="0078012C"/>
    <w:rsid w:val="007808D3"/>
    <w:rsid w:val="00780CD8"/>
    <w:rsid w:val="00781D0F"/>
    <w:rsid w:val="007828F6"/>
    <w:rsid w:val="00786189"/>
    <w:rsid w:val="007864F7"/>
    <w:rsid w:val="0078740C"/>
    <w:rsid w:val="007876C1"/>
    <w:rsid w:val="0079013B"/>
    <w:rsid w:val="00790303"/>
    <w:rsid w:val="00790927"/>
    <w:rsid w:val="007912AD"/>
    <w:rsid w:val="00791F96"/>
    <w:rsid w:val="007924EA"/>
    <w:rsid w:val="0079310D"/>
    <w:rsid w:val="007949CA"/>
    <w:rsid w:val="00794D7F"/>
    <w:rsid w:val="0079570A"/>
    <w:rsid w:val="00796E05"/>
    <w:rsid w:val="007A007A"/>
    <w:rsid w:val="007A0C60"/>
    <w:rsid w:val="007A0ECA"/>
    <w:rsid w:val="007A2EDA"/>
    <w:rsid w:val="007A3CC1"/>
    <w:rsid w:val="007A4469"/>
    <w:rsid w:val="007A49E3"/>
    <w:rsid w:val="007A5168"/>
    <w:rsid w:val="007A6E3C"/>
    <w:rsid w:val="007A7C09"/>
    <w:rsid w:val="007B4F59"/>
    <w:rsid w:val="007B6EFC"/>
    <w:rsid w:val="007C06F3"/>
    <w:rsid w:val="007C1002"/>
    <w:rsid w:val="007C1159"/>
    <w:rsid w:val="007C1396"/>
    <w:rsid w:val="007C2827"/>
    <w:rsid w:val="007C306D"/>
    <w:rsid w:val="007C3217"/>
    <w:rsid w:val="007C3759"/>
    <w:rsid w:val="007C3B1B"/>
    <w:rsid w:val="007C413D"/>
    <w:rsid w:val="007C5857"/>
    <w:rsid w:val="007C597F"/>
    <w:rsid w:val="007C59D5"/>
    <w:rsid w:val="007C71F6"/>
    <w:rsid w:val="007C75DE"/>
    <w:rsid w:val="007D01D7"/>
    <w:rsid w:val="007D06F0"/>
    <w:rsid w:val="007D145B"/>
    <w:rsid w:val="007D26AF"/>
    <w:rsid w:val="007D2750"/>
    <w:rsid w:val="007D2A09"/>
    <w:rsid w:val="007D377E"/>
    <w:rsid w:val="007D51FA"/>
    <w:rsid w:val="007D6046"/>
    <w:rsid w:val="007D607A"/>
    <w:rsid w:val="007D66A0"/>
    <w:rsid w:val="007D6FD4"/>
    <w:rsid w:val="007E2AD3"/>
    <w:rsid w:val="007E2F84"/>
    <w:rsid w:val="007E3CDB"/>
    <w:rsid w:val="007E4039"/>
    <w:rsid w:val="007E474D"/>
    <w:rsid w:val="007E592C"/>
    <w:rsid w:val="007E7174"/>
    <w:rsid w:val="007E740C"/>
    <w:rsid w:val="007F03C0"/>
    <w:rsid w:val="007F06EC"/>
    <w:rsid w:val="007F1B61"/>
    <w:rsid w:val="007F1E4D"/>
    <w:rsid w:val="007F26CD"/>
    <w:rsid w:val="007F3D29"/>
    <w:rsid w:val="007F3F10"/>
    <w:rsid w:val="007F4622"/>
    <w:rsid w:val="007F49F7"/>
    <w:rsid w:val="007F5A24"/>
    <w:rsid w:val="007F5E4B"/>
    <w:rsid w:val="007F604D"/>
    <w:rsid w:val="007F74A3"/>
    <w:rsid w:val="00801646"/>
    <w:rsid w:val="00802FDC"/>
    <w:rsid w:val="00803603"/>
    <w:rsid w:val="008054B4"/>
    <w:rsid w:val="00805846"/>
    <w:rsid w:val="00805DD4"/>
    <w:rsid w:val="00805ED1"/>
    <w:rsid w:val="00806212"/>
    <w:rsid w:val="00810354"/>
    <w:rsid w:val="00810597"/>
    <w:rsid w:val="0081326D"/>
    <w:rsid w:val="00815026"/>
    <w:rsid w:val="00815631"/>
    <w:rsid w:val="008170ED"/>
    <w:rsid w:val="00817B20"/>
    <w:rsid w:val="00817DF7"/>
    <w:rsid w:val="00820246"/>
    <w:rsid w:val="0082093D"/>
    <w:rsid w:val="0082150F"/>
    <w:rsid w:val="008277C9"/>
    <w:rsid w:val="0082793D"/>
    <w:rsid w:val="00830B94"/>
    <w:rsid w:val="00830D17"/>
    <w:rsid w:val="00832704"/>
    <w:rsid w:val="00832DD0"/>
    <w:rsid w:val="00832EE3"/>
    <w:rsid w:val="00834BE2"/>
    <w:rsid w:val="008371ED"/>
    <w:rsid w:val="008403FF"/>
    <w:rsid w:val="008415F5"/>
    <w:rsid w:val="00841C13"/>
    <w:rsid w:val="00842F60"/>
    <w:rsid w:val="00844A63"/>
    <w:rsid w:val="00844C05"/>
    <w:rsid w:val="00845110"/>
    <w:rsid w:val="00845BC9"/>
    <w:rsid w:val="00846585"/>
    <w:rsid w:val="00846690"/>
    <w:rsid w:val="00847898"/>
    <w:rsid w:val="00847EF0"/>
    <w:rsid w:val="008502BB"/>
    <w:rsid w:val="00850982"/>
    <w:rsid w:val="008511B8"/>
    <w:rsid w:val="008511ED"/>
    <w:rsid w:val="00851D34"/>
    <w:rsid w:val="008525C5"/>
    <w:rsid w:val="00852B39"/>
    <w:rsid w:val="00853B03"/>
    <w:rsid w:val="00855413"/>
    <w:rsid w:val="00855672"/>
    <w:rsid w:val="00856507"/>
    <w:rsid w:val="00856FB2"/>
    <w:rsid w:val="008633D1"/>
    <w:rsid w:val="00863F38"/>
    <w:rsid w:val="00865EF9"/>
    <w:rsid w:val="00867683"/>
    <w:rsid w:val="00867A36"/>
    <w:rsid w:val="00870187"/>
    <w:rsid w:val="0087104B"/>
    <w:rsid w:val="00871B59"/>
    <w:rsid w:val="00874A3C"/>
    <w:rsid w:val="008760A1"/>
    <w:rsid w:val="00877342"/>
    <w:rsid w:val="00877B5C"/>
    <w:rsid w:val="008802EA"/>
    <w:rsid w:val="00880323"/>
    <w:rsid w:val="008804C1"/>
    <w:rsid w:val="00880657"/>
    <w:rsid w:val="00882C09"/>
    <w:rsid w:val="00883C17"/>
    <w:rsid w:val="00884058"/>
    <w:rsid w:val="00886645"/>
    <w:rsid w:val="00890D68"/>
    <w:rsid w:val="00891714"/>
    <w:rsid w:val="008924A9"/>
    <w:rsid w:val="00892ADD"/>
    <w:rsid w:val="00893346"/>
    <w:rsid w:val="00895269"/>
    <w:rsid w:val="00895869"/>
    <w:rsid w:val="00896262"/>
    <w:rsid w:val="0089696E"/>
    <w:rsid w:val="00897480"/>
    <w:rsid w:val="008974F4"/>
    <w:rsid w:val="00897F83"/>
    <w:rsid w:val="008A31A7"/>
    <w:rsid w:val="008A60F1"/>
    <w:rsid w:val="008A7972"/>
    <w:rsid w:val="008B0B67"/>
    <w:rsid w:val="008B1D8B"/>
    <w:rsid w:val="008B1DCA"/>
    <w:rsid w:val="008B29C0"/>
    <w:rsid w:val="008B3D06"/>
    <w:rsid w:val="008B48F8"/>
    <w:rsid w:val="008B6B25"/>
    <w:rsid w:val="008B6E4E"/>
    <w:rsid w:val="008C2653"/>
    <w:rsid w:val="008C3B7A"/>
    <w:rsid w:val="008C4253"/>
    <w:rsid w:val="008C43D0"/>
    <w:rsid w:val="008C4714"/>
    <w:rsid w:val="008C47DB"/>
    <w:rsid w:val="008C4827"/>
    <w:rsid w:val="008C4DE3"/>
    <w:rsid w:val="008C61E4"/>
    <w:rsid w:val="008C79B2"/>
    <w:rsid w:val="008D1648"/>
    <w:rsid w:val="008D18E9"/>
    <w:rsid w:val="008D1E93"/>
    <w:rsid w:val="008D2156"/>
    <w:rsid w:val="008D3E48"/>
    <w:rsid w:val="008D48A0"/>
    <w:rsid w:val="008D59C1"/>
    <w:rsid w:val="008D5D0A"/>
    <w:rsid w:val="008D6737"/>
    <w:rsid w:val="008D7BE2"/>
    <w:rsid w:val="008E076D"/>
    <w:rsid w:val="008E08EA"/>
    <w:rsid w:val="008E2CAB"/>
    <w:rsid w:val="008E31C9"/>
    <w:rsid w:val="008E34D8"/>
    <w:rsid w:val="008E38F3"/>
    <w:rsid w:val="008E5736"/>
    <w:rsid w:val="008E799E"/>
    <w:rsid w:val="008F0C2E"/>
    <w:rsid w:val="008F1477"/>
    <w:rsid w:val="008F1A82"/>
    <w:rsid w:val="008F3095"/>
    <w:rsid w:val="008F32E2"/>
    <w:rsid w:val="008F4306"/>
    <w:rsid w:val="008F590F"/>
    <w:rsid w:val="008F6428"/>
    <w:rsid w:val="008F6566"/>
    <w:rsid w:val="008F6FD0"/>
    <w:rsid w:val="008F70D8"/>
    <w:rsid w:val="008F7A91"/>
    <w:rsid w:val="009006D8"/>
    <w:rsid w:val="00901CD1"/>
    <w:rsid w:val="00902704"/>
    <w:rsid w:val="00902D43"/>
    <w:rsid w:val="0090335F"/>
    <w:rsid w:val="00904BC7"/>
    <w:rsid w:val="009057D8"/>
    <w:rsid w:val="009061BE"/>
    <w:rsid w:val="009063BB"/>
    <w:rsid w:val="009069BD"/>
    <w:rsid w:val="009076D1"/>
    <w:rsid w:val="00910D94"/>
    <w:rsid w:val="0091266F"/>
    <w:rsid w:val="00912B1A"/>
    <w:rsid w:val="009137DE"/>
    <w:rsid w:val="00914EB8"/>
    <w:rsid w:val="00916358"/>
    <w:rsid w:val="00916AA1"/>
    <w:rsid w:val="00916DDB"/>
    <w:rsid w:val="0092064E"/>
    <w:rsid w:val="00921A65"/>
    <w:rsid w:val="00921D68"/>
    <w:rsid w:val="009224F5"/>
    <w:rsid w:val="00925484"/>
    <w:rsid w:val="00925601"/>
    <w:rsid w:val="0092607C"/>
    <w:rsid w:val="009269BB"/>
    <w:rsid w:val="00927032"/>
    <w:rsid w:val="00927E03"/>
    <w:rsid w:val="00931138"/>
    <w:rsid w:val="009319ED"/>
    <w:rsid w:val="009322AC"/>
    <w:rsid w:val="009325AA"/>
    <w:rsid w:val="00932B5D"/>
    <w:rsid w:val="00933D24"/>
    <w:rsid w:val="00934F8E"/>
    <w:rsid w:val="009363C5"/>
    <w:rsid w:val="00937EF4"/>
    <w:rsid w:val="00940BC9"/>
    <w:rsid w:val="009422F6"/>
    <w:rsid w:val="009441D3"/>
    <w:rsid w:val="00944814"/>
    <w:rsid w:val="009453FA"/>
    <w:rsid w:val="00945C1F"/>
    <w:rsid w:val="00945FA1"/>
    <w:rsid w:val="009471F5"/>
    <w:rsid w:val="00947542"/>
    <w:rsid w:val="00947E7C"/>
    <w:rsid w:val="00950EFF"/>
    <w:rsid w:val="00951D01"/>
    <w:rsid w:val="00952802"/>
    <w:rsid w:val="009531F7"/>
    <w:rsid w:val="00953681"/>
    <w:rsid w:val="0095590C"/>
    <w:rsid w:val="00960D67"/>
    <w:rsid w:val="009612C6"/>
    <w:rsid w:val="00961A3B"/>
    <w:rsid w:val="00962288"/>
    <w:rsid w:val="00963368"/>
    <w:rsid w:val="00963E49"/>
    <w:rsid w:val="00965515"/>
    <w:rsid w:val="00965DD6"/>
    <w:rsid w:val="009666B2"/>
    <w:rsid w:val="00966A11"/>
    <w:rsid w:val="009707B6"/>
    <w:rsid w:val="00970A29"/>
    <w:rsid w:val="00970C3A"/>
    <w:rsid w:val="0097259F"/>
    <w:rsid w:val="00972AEE"/>
    <w:rsid w:val="0097310D"/>
    <w:rsid w:val="009740A8"/>
    <w:rsid w:val="00974F5B"/>
    <w:rsid w:val="0097708E"/>
    <w:rsid w:val="009774C9"/>
    <w:rsid w:val="00982DED"/>
    <w:rsid w:val="009867B1"/>
    <w:rsid w:val="0099023E"/>
    <w:rsid w:val="00990746"/>
    <w:rsid w:val="00990C78"/>
    <w:rsid w:val="0099113D"/>
    <w:rsid w:val="00992A4E"/>
    <w:rsid w:val="00994943"/>
    <w:rsid w:val="009967BF"/>
    <w:rsid w:val="00997156"/>
    <w:rsid w:val="009A0E7C"/>
    <w:rsid w:val="009A249A"/>
    <w:rsid w:val="009A35BC"/>
    <w:rsid w:val="009A4D2C"/>
    <w:rsid w:val="009A4DD2"/>
    <w:rsid w:val="009A53D7"/>
    <w:rsid w:val="009A551E"/>
    <w:rsid w:val="009A6F9E"/>
    <w:rsid w:val="009A7359"/>
    <w:rsid w:val="009B021E"/>
    <w:rsid w:val="009B02B3"/>
    <w:rsid w:val="009B2502"/>
    <w:rsid w:val="009B284F"/>
    <w:rsid w:val="009B2D51"/>
    <w:rsid w:val="009B369F"/>
    <w:rsid w:val="009B3781"/>
    <w:rsid w:val="009B5031"/>
    <w:rsid w:val="009B52F1"/>
    <w:rsid w:val="009B5F5F"/>
    <w:rsid w:val="009B6157"/>
    <w:rsid w:val="009B74F4"/>
    <w:rsid w:val="009B76C4"/>
    <w:rsid w:val="009B7F38"/>
    <w:rsid w:val="009C09E9"/>
    <w:rsid w:val="009C1DFA"/>
    <w:rsid w:val="009C1E86"/>
    <w:rsid w:val="009C2D33"/>
    <w:rsid w:val="009C37F7"/>
    <w:rsid w:val="009C3C1D"/>
    <w:rsid w:val="009C4156"/>
    <w:rsid w:val="009C4355"/>
    <w:rsid w:val="009C5DCA"/>
    <w:rsid w:val="009C63C7"/>
    <w:rsid w:val="009C6611"/>
    <w:rsid w:val="009D0682"/>
    <w:rsid w:val="009D0CFC"/>
    <w:rsid w:val="009D11B7"/>
    <w:rsid w:val="009D129E"/>
    <w:rsid w:val="009D2BC8"/>
    <w:rsid w:val="009D6090"/>
    <w:rsid w:val="009D6EB0"/>
    <w:rsid w:val="009D7259"/>
    <w:rsid w:val="009D7AE0"/>
    <w:rsid w:val="009E0797"/>
    <w:rsid w:val="009E0ED3"/>
    <w:rsid w:val="009E1AD8"/>
    <w:rsid w:val="009E21D9"/>
    <w:rsid w:val="009E2BD9"/>
    <w:rsid w:val="009E32C0"/>
    <w:rsid w:val="009E3A3C"/>
    <w:rsid w:val="009E4139"/>
    <w:rsid w:val="009E660F"/>
    <w:rsid w:val="009E6DAF"/>
    <w:rsid w:val="009E70EF"/>
    <w:rsid w:val="009E76C3"/>
    <w:rsid w:val="009F0E3F"/>
    <w:rsid w:val="009F1410"/>
    <w:rsid w:val="009F1B93"/>
    <w:rsid w:val="009F28EA"/>
    <w:rsid w:val="009F640F"/>
    <w:rsid w:val="009F7D0B"/>
    <w:rsid w:val="009F7D9D"/>
    <w:rsid w:val="00A0049B"/>
    <w:rsid w:val="00A006DC"/>
    <w:rsid w:val="00A00E08"/>
    <w:rsid w:val="00A01C54"/>
    <w:rsid w:val="00A02DC8"/>
    <w:rsid w:val="00A038BB"/>
    <w:rsid w:val="00A03D3E"/>
    <w:rsid w:val="00A04A63"/>
    <w:rsid w:val="00A04C9A"/>
    <w:rsid w:val="00A068B8"/>
    <w:rsid w:val="00A07B3A"/>
    <w:rsid w:val="00A07CF6"/>
    <w:rsid w:val="00A10409"/>
    <w:rsid w:val="00A127AA"/>
    <w:rsid w:val="00A14990"/>
    <w:rsid w:val="00A15444"/>
    <w:rsid w:val="00A15ACE"/>
    <w:rsid w:val="00A164F3"/>
    <w:rsid w:val="00A16B66"/>
    <w:rsid w:val="00A16ED6"/>
    <w:rsid w:val="00A16F18"/>
    <w:rsid w:val="00A17342"/>
    <w:rsid w:val="00A20275"/>
    <w:rsid w:val="00A20520"/>
    <w:rsid w:val="00A22387"/>
    <w:rsid w:val="00A22461"/>
    <w:rsid w:val="00A22AA5"/>
    <w:rsid w:val="00A22AA8"/>
    <w:rsid w:val="00A237CF"/>
    <w:rsid w:val="00A25D15"/>
    <w:rsid w:val="00A25F00"/>
    <w:rsid w:val="00A264D5"/>
    <w:rsid w:val="00A266A1"/>
    <w:rsid w:val="00A30166"/>
    <w:rsid w:val="00A32437"/>
    <w:rsid w:val="00A33363"/>
    <w:rsid w:val="00A34417"/>
    <w:rsid w:val="00A35A12"/>
    <w:rsid w:val="00A372CE"/>
    <w:rsid w:val="00A3731F"/>
    <w:rsid w:val="00A378A2"/>
    <w:rsid w:val="00A37AEA"/>
    <w:rsid w:val="00A400A9"/>
    <w:rsid w:val="00A40E3A"/>
    <w:rsid w:val="00A4233D"/>
    <w:rsid w:val="00A425D9"/>
    <w:rsid w:val="00A44E06"/>
    <w:rsid w:val="00A456F2"/>
    <w:rsid w:val="00A46886"/>
    <w:rsid w:val="00A51D0B"/>
    <w:rsid w:val="00A52007"/>
    <w:rsid w:val="00A52152"/>
    <w:rsid w:val="00A5270E"/>
    <w:rsid w:val="00A53C73"/>
    <w:rsid w:val="00A53FE0"/>
    <w:rsid w:val="00A544BD"/>
    <w:rsid w:val="00A55282"/>
    <w:rsid w:val="00A5536C"/>
    <w:rsid w:val="00A56355"/>
    <w:rsid w:val="00A600C6"/>
    <w:rsid w:val="00A607B6"/>
    <w:rsid w:val="00A607F2"/>
    <w:rsid w:val="00A629DD"/>
    <w:rsid w:val="00A63257"/>
    <w:rsid w:val="00A65633"/>
    <w:rsid w:val="00A72C89"/>
    <w:rsid w:val="00A73A45"/>
    <w:rsid w:val="00A7501F"/>
    <w:rsid w:val="00A75F64"/>
    <w:rsid w:val="00A776E6"/>
    <w:rsid w:val="00A80DD7"/>
    <w:rsid w:val="00A813C8"/>
    <w:rsid w:val="00A82535"/>
    <w:rsid w:val="00A830A1"/>
    <w:rsid w:val="00A8392F"/>
    <w:rsid w:val="00A876C4"/>
    <w:rsid w:val="00A9076A"/>
    <w:rsid w:val="00A908E4"/>
    <w:rsid w:val="00A9150D"/>
    <w:rsid w:val="00A91AD6"/>
    <w:rsid w:val="00A91AE0"/>
    <w:rsid w:val="00A91C6F"/>
    <w:rsid w:val="00A921CD"/>
    <w:rsid w:val="00A966B6"/>
    <w:rsid w:val="00A969E0"/>
    <w:rsid w:val="00AA14CD"/>
    <w:rsid w:val="00AA20D1"/>
    <w:rsid w:val="00AA2647"/>
    <w:rsid w:val="00AA2BF8"/>
    <w:rsid w:val="00AA50BE"/>
    <w:rsid w:val="00AA5693"/>
    <w:rsid w:val="00AA5A07"/>
    <w:rsid w:val="00AA6931"/>
    <w:rsid w:val="00AA7048"/>
    <w:rsid w:val="00AA765E"/>
    <w:rsid w:val="00AA7A0D"/>
    <w:rsid w:val="00AA7CC2"/>
    <w:rsid w:val="00AB1318"/>
    <w:rsid w:val="00AB1F75"/>
    <w:rsid w:val="00AB4CDC"/>
    <w:rsid w:val="00AB5AFD"/>
    <w:rsid w:val="00AB63B9"/>
    <w:rsid w:val="00AB64B8"/>
    <w:rsid w:val="00AB6667"/>
    <w:rsid w:val="00AB68DC"/>
    <w:rsid w:val="00AB6C3B"/>
    <w:rsid w:val="00AB7921"/>
    <w:rsid w:val="00AC14FE"/>
    <w:rsid w:val="00AC282D"/>
    <w:rsid w:val="00AC6295"/>
    <w:rsid w:val="00AC7778"/>
    <w:rsid w:val="00AC7ADB"/>
    <w:rsid w:val="00AD02C3"/>
    <w:rsid w:val="00AD0517"/>
    <w:rsid w:val="00AD098F"/>
    <w:rsid w:val="00AD0FC1"/>
    <w:rsid w:val="00AD4400"/>
    <w:rsid w:val="00AD4450"/>
    <w:rsid w:val="00AD44B8"/>
    <w:rsid w:val="00AD46FD"/>
    <w:rsid w:val="00AD5A46"/>
    <w:rsid w:val="00AD5CD7"/>
    <w:rsid w:val="00AD6E7F"/>
    <w:rsid w:val="00AD7684"/>
    <w:rsid w:val="00AD7C5B"/>
    <w:rsid w:val="00AD7D92"/>
    <w:rsid w:val="00AD7EA1"/>
    <w:rsid w:val="00AE0728"/>
    <w:rsid w:val="00AE0B52"/>
    <w:rsid w:val="00AE235B"/>
    <w:rsid w:val="00AE29BA"/>
    <w:rsid w:val="00AE3595"/>
    <w:rsid w:val="00AE576A"/>
    <w:rsid w:val="00AE57E6"/>
    <w:rsid w:val="00AE673F"/>
    <w:rsid w:val="00AE77EA"/>
    <w:rsid w:val="00AF218A"/>
    <w:rsid w:val="00AF2887"/>
    <w:rsid w:val="00AF354C"/>
    <w:rsid w:val="00AF4436"/>
    <w:rsid w:val="00AF45C5"/>
    <w:rsid w:val="00AF4740"/>
    <w:rsid w:val="00AF4D2B"/>
    <w:rsid w:val="00AF5039"/>
    <w:rsid w:val="00AF745B"/>
    <w:rsid w:val="00AF79DC"/>
    <w:rsid w:val="00B03326"/>
    <w:rsid w:val="00B03CBD"/>
    <w:rsid w:val="00B054DB"/>
    <w:rsid w:val="00B05C00"/>
    <w:rsid w:val="00B05E74"/>
    <w:rsid w:val="00B10391"/>
    <w:rsid w:val="00B112AF"/>
    <w:rsid w:val="00B11952"/>
    <w:rsid w:val="00B132A2"/>
    <w:rsid w:val="00B14DBE"/>
    <w:rsid w:val="00B15163"/>
    <w:rsid w:val="00B15E91"/>
    <w:rsid w:val="00B2175D"/>
    <w:rsid w:val="00B23517"/>
    <w:rsid w:val="00B23F79"/>
    <w:rsid w:val="00B24A90"/>
    <w:rsid w:val="00B272CC"/>
    <w:rsid w:val="00B30005"/>
    <w:rsid w:val="00B30860"/>
    <w:rsid w:val="00B30A1A"/>
    <w:rsid w:val="00B32FC8"/>
    <w:rsid w:val="00B34D4D"/>
    <w:rsid w:val="00B3642A"/>
    <w:rsid w:val="00B36D9F"/>
    <w:rsid w:val="00B3722C"/>
    <w:rsid w:val="00B37BCA"/>
    <w:rsid w:val="00B37C0A"/>
    <w:rsid w:val="00B41D72"/>
    <w:rsid w:val="00B41F76"/>
    <w:rsid w:val="00B43021"/>
    <w:rsid w:val="00B44094"/>
    <w:rsid w:val="00B44607"/>
    <w:rsid w:val="00B45935"/>
    <w:rsid w:val="00B46DE3"/>
    <w:rsid w:val="00B47518"/>
    <w:rsid w:val="00B50F20"/>
    <w:rsid w:val="00B5274F"/>
    <w:rsid w:val="00B5294E"/>
    <w:rsid w:val="00B52BC3"/>
    <w:rsid w:val="00B52F0F"/>
    <w:rsid w:val="00B552DC"/>
    <w:rsid w:val="00B55B72"/>
    <w:rsid w:val="00B55EFB"/>
    <w:rsid w:val="00B56E0D"/>
    <w:rsid w:val="00B57B6F"/>
    <w:rsid w:val="00B60520"/>
    <w:rsid w:val="00B60BB5"/>
    <w:rsid w:val="00B628E9"/>
    <w:rsid w:val="00B63D23"/>
    <w:rsid w:val="00B64127"/>
    <w:rsid w:val="00B658A4"/>
    <w:rsid w:val="00B6677E"/>
    <w:rsid w:val="00B66DD1"/>
    <w:rsid w:val="00B67855"/>
    <w:rsid w:val="00B67B64"/>
    <w:rsid w:val="00B7112F"/>
    <w:rsid w:val="00B715C6"/>
    <w:rsid w:val="00B7185D"/>
    <w:rsid w:val="00B721A1"/>
    <w:rsid w:val="00B736BE"/>
    <w:rsid w:val="00B73D14"/>
    <w:rsid w:val="00B73F5A"/>
    <w:rsid w:val="00B74649"/>
    <w:rsid w:val="00B74DB6"/>
    <w:rsid w:val="00B765B7"/>
    <w:rsid w:val="00B76728"/>
    <w:rsid w:val="00B76B5D"/>
    <w:rsid w:val="00B77D93"/>
    <w:rsid w:val="00B77E3C"/>
    <w:rsid w:val="00B82558"/>
    <w:rsid w:val="00B825CA"/>
    <w:rsid w:val="00B828FF"/>
    <w:rsid w:val="00B843E0"/>
    <w:rsid w:val="00B85071"/>
    <w:rsid w:val="00B85544"/>
    <w:rsid w:val="00B85CAC"/>
    <w:rsid w:val="00B86D00"/>
    <w:rsid w:val="00B87072"/>
    <w:rsid w:val="00B872C9"/>
    <w:rsid w:val="00B900AE"/>
    <w:rsid w:val="00B90373"/>
    <w:rsid w:val="00B909C5"/>
    <w:rsid w:val="00B91726"/>
    <w:rsid w:val="00B93206"/>
    <w:rsid w:val="00B94ED1"/>
    <w:rsid w:val="00B9657C"/>
    <w:rsid w:val="00B965CC"/>
    <w:rsid w:val="00B97A5C"/>
    <w:rsid w:val="00BA20DB"/>
    <w:rsid w:val="00BA34F6"/>
    <w:rsid w:val="00BA37AD"/>
    <w:rsid w:val="00BA38FE"/>
    <w:rsid w:val="00BA40C8"/>
    <w:rsid w:val="00BA45D6"/>
    <w:rsid w:val="00BA45F6"/>
    <w:rsid w:val="00BA543D"/>
    <w:rsid w:val="00BA7214"/>
    <w:rsid w:val="00BA7758"/>
    <w:rsid w:val="00BB0A70"/>
    <w:rsid w:val="00BB13B6"/>
    <w:rsid w:val="00BB146A"/>
    <w:rsid w:val="00BB17F2"/>
    <w:rsid w:val="00BB20EA"/>
    <w:rsid w:val="00BB30E0"/>
    <w:rsid w:val="00BB4216"/>
    <w:rsid w:val="00BB431E"/>
    <w:rsid w:val="00BB4B23"/>
    <w:rsid w:val="00BB4C72"/>
    <w:rsid w:val="00BB4EEC"/>
    <w:rsid w:val="00BC097B"/>
    <w:rsid w:val="00BC0B5A"/>
    <w:rsid w:val="00BC1E27"/>
    <w:rsid w:val="00BC271C"/>
    <w:rsid w:val="00BC2765"/>
    <w:rsid w:val="00BC3450"/>
    <w:rsid w:val="00BC359E"/>
    <w:rsid w:val="00BC4FC3"/>
    <w:rsid w:val="00BC5F1A"/>
    <w:rsid w:val="00BC7022"/>
    <w:rsid w:val="00BC7373"/>
    <w:rsid w:val="00BC7633"/>
    <w:rsid w:val="00BD02F5"/>
    <w:rsid w:val="00BD25E9"/>
    <w:rsid w:val="00BD4788"/>
    <w:rsid w:val="00BD724A"/>
    <w:rsid w:val="00BE047A"/>
    <w:rsid w:val="00BE0642"/>
    <w:rsid w:val="00BE1868"/>
    <w:rsid w:val="00BE25EF"/>
    <w:rsid w:val="00BE27F6"/>
    <w:rsid w:val="00BE5697"/>
    <w:rsid w:val="00BE5E23"/>
    <w:rsid w:val="00BE7E47"/>
    <w:rsid w:val="00BF3CB1"/>
    <w:rsid w:val="00BF4D66"/>
    <w:rsid w:val="00BF62D0"/>
    <w:rsid w:val="00BF719F"/>
    <w:rsid w:val="00C00144"/>
    <w:rsid w:val="00C0086A"/>
    <w:rsid w:val="00C038F8"/>
    <w:rsid w:val="00C04C6B"/>
    <w:rsid w:val="00C04D15"/>
    <w:rsid w:val="00C0519C"/>
    <w:rsid w:val="00C071AF"/>
    <w:rsid w:val="00C14BC0"/>
    <w:rsid w:val="00C15670"/>
    <w:rsid w:val="00C22FF2"/>
    <w:rsid w:val="00C23BC0"/>
    <w:rsid w:val="00C24451"/>
    <w:rsid w:val="00C26996"/>
    <w:rsid w:val="00C27BAD"/>
    <w:rsid w:val="00C34D56"/>
    <w:rsid w:val="00C3608A"/>
    <w:rsid w:val="00C406CF"/>
    <w:rsid w:val="00C4158F"/>
    <w:rsid w:val="00C42341"/>
    <w:rsid w:val="00C42AFA"/>
    <w:rsid w:val="00C42DBE"/>
    <w:rsid w:val="00C4368C"/>
    <w:rsid w:val="00C45273"/>
    <w:rsid w:val="00C46FBB"/>
    <w:rsid w:val="00C47AC2"/>
    <w:rsid w:val="00C47FF5"/>
    <w:rsid w:val="00C50DB5"/>
    <w:rsid w:val="00C5365A"/>
    <w:rsid w:val="00C544C6"/>
    <w:rsid w:val="00C5536F"/>
    <w:rsid w:val="00C555C7"/>
    <w:rsid w:val="00C55FA1"/>
    <w:rsid w:val="00C56865"/>
    <w:rsid w:val="00C576C1"/>
    <w:rsid w:val="00C60025"/>
    <w:rsid w:val="00C60BB2"/>
    <w:rsid w:val="00C616B5"/>
    <w:rsid w:val="00C623FC"/>
    <w:rsid w:val="00C63450"/>
    <w:rsid w:val="00C6411D"/>
    <w:rsid w:val="00C643E8"/>
    <w:rsid w:val="00C65321"/>
    <w:rsid w:val="00C65D85"/>
    <w:rsid w:val="00C674CF"/>
    <w:rsid w:val="00C67B64"/>
    <w:rsid w:val="00C709B8"/>
    <w:rsid w:val="00C70C58"/>
    <w:rsid w:val="00C713B9"/>
    <w:rsid w:val="00C71C84"/>
    <w:rsid w:val="00C7575F"/>
    <w:rsid w:val="00C75DC5"/>
    <w:rsid w:val="00C76946"/>
    <w:rsid w:val="00C77EF8"/>
    <w:rsid w:val="00C800E7"/>
    <w:rsid w:val="00C8164D"/>
    <w:rsid w:val="00C81C4B"/>
    <w:rsid w:val="00C82728"/>
    <w:rsid w:val="00C8456F"/>
    <w:rsid w:val="00C84AF9"/>
    <w:rsid w:val="00C85945"/>
    <w:rsid w:val="00C862D7"/>
    <w:rsid w:val="00C866CC"/>
    <w:rsid w:val="00C869C4"/>
    <w:rsid w:val="00C86A45"/>
    <w:rsid w:val="00C87959"/>
    <w:rsid w:val="00C90E96"/>
    <w:rsid w:val="00C91954"/>
    <w:rsid w:val="00C91C41"/>
    <w:rsid w:val="00C9212A"/>
    <w:rsid w:val="00C92BCE"/>
    <w:rsid w:val="00C9390C"/>
    <w:rsid w:val="00C939B6"/>
    <w:rsid w:val="00C939EE"/>
    <w:rsid w:val="00C93C43"/>
    <w:rsid w:val="00C94ABF"/>
    <w:rsid w:val="00C94C47"/>
    <w:rsid w:val="00C961EA"/>
    <w:rsid w:val="00C97ED0"/>
    <w:rsid w:val="00CA0675"/>
    <w:rsid w:val="00CA27F2"/>
    <w:rsid w:val="00CA2882"/>
    <w:rsid w:val="00CA48B9"/>
    <w:rsid w:val="00CA563A"/>
    <w:rsid w:val="00CA5656"/>
    <w:rsid w:val="00CA677C"/>
    <w:rsid w:val="00CA77DB"/>
    <w:rsid w:val="00CA7943"/>
    <w:rsid w:val="00CA7D29"/>
    <w:rsid w:val="00CB123E"/>
    <w:rsid w:val="00CB1E5E"/>
    <w:rsid w:val="00CB25ED"/>
    <w:rsid w:val="00CB3034"/>
    <w:rsid w:val="00CB309D"/>
    <w:rsid w:val="00CB3ABE"/>
    <w:rsid w:val="00CB3EFF"/>
    <w:rsid w:val="00CB42BE"/>
    <w:rsid w:val="00CB48F3"/>
    <w:rsid w:val="00CB726A"/>
    <w:rsid w:val="00CB75FC"/>
    <w:rsid w:val="00CB7648"/>
    <w:rsid w:val="00CB7888"/>
    <w:rsid w:val="00CC0032"/>
    <w:rsid w:val="00CC066B"/>
    <w:rsid w:val="00CC1C76"/>
    <w:rsid w:val="00CC1CCF"/>
    <w:rsid w:val="00CC2027"/>
    <w:rsid w:val="00CC2611"/>
    <w:rsid w:val="00CC2D7B"/>
    <w:rsid w:val="00CC383A"/>
    <w:rsid w:val="00CC6B3E"/>
    <w:rsid w:val="00CD3DE5"/>
    <w:rsid w:val="00CD433F"/>
    <w:rsid w:val="00CD541C"/>
    <w:rsid w:val="00CD60C9"/>
    <w:rsid w:val="00CE4BAF"/>
    <w:rsid w:val="00CE57AF"/>
    <w:rsid w:val="00CE5926"/>
    <w:rsid w:val="00CE6F8E"/>
    <w:rsid w:val="00CE7DD1"/>
    <w:rsid w:val="00CF0033"/>
    <w:rsid w:val="00CF16BF"/>
    <w:rsid w:val="00CF21C0"/>
    <w:rsid w:val="00CF2E99"/>
    <w:rsid w:val="00CF316C"/>
    <w:rsid w:val="00CF4BF0"/>
    <w:rsid w:val="00CF4D81"/>
    <w:rsid w:val="00CF531B"/>
    <w:rsid w:val="00CF65E2"/>
    <w:rsid w:val="00CF77E8"/>
    <w:rsid w:val="00CF7A5E"/>
    <w:rsid w:val="00CF7B85"/>
    <w:rsid w:val="00D022BF"/>
    <w:rsid w:val="00D02349"/>
    <w:rsid w:val="00D02DCA"/>
    <w:rsid w:val="00D0338E"/>
    <w:rsid w:val="00D036B2"/>
    <w:rsid w:val="00D056CF"/>
    <w:rsid w:val="00D05B87"/>
    <w:rsid w:val="00D07328"/>
    <w:rsid w:val="00D079AC"/>
    <w:rsid w:val="00D1266D"/>
    <w:rsid w:val="00D12C5C"/>
    <w:rsid w:val="00D136FF"/>
    <w:rsid w:val="00D13C21"/>
    <w:rsid w:val="00D14D12"/>
    <w:rsid w:val="00D15D47"/>
    <w:rsid w:val="00D167BE"/>
    <w:rsid w:val="00D2020B"/>
    <w:rsid w:val="00D207DD"/>
    <w:rsid w:val="00D228E1"/>
    <w:rsid w:val="00D2364A"/>
    <w:rsid w:val="00D24B8E"/>
    <w:rsid w:val="00D24C88"/>
    <w:rsid w:val="00D2533A"/>
    <w:rsid w:val="00D2599C"/>
    <w:rsid w:val="00D26A3C"/>
    <w:rsid w:val="00D27461"/>
    <w:rsid w:val="00D27E7B"/>
    <w:rsid w:val="00D304A0"/>
    <w:rsid w:val="00D32295"/>
    <w:rsid w:val="00D324CA"/>
    <w:rsid w:val="00D326A1"/>
    <w:rsid w:val="00D326CF"/>
    <w:rsid w:val="00D32750"/>
    <w:rsid w:val="00D336A8"/>
    <w:rsid w:val="00D37076"/>
    <w:rsid w:val="00D37275"/>
    <w:rsid w:val="00D40CA2"/>
    <w:rsid w:val="00D41D36"/>
    <w:rsid w:val="00D42666"/>
    <w:rsid w:val="00D427B4"/>
    <w:rsid w:val="00D42B88"/>
    <w:rsid w:val="00D4329A"/>
    <w:rsid w:val="00D44A29"/>
    <w:rsid w:val="00D47DB6"/>
    <w:rsid w:val="00D501A6"/>
    <w:rsid w:val="00D51F17"/>
    <w:rsid w:val="00D53263"/>
    <w:rsid w:val="00D5395E"/>
    <w:rsid w:val="00D565C8"/>
    <w:rsid w:val="00D574ED"/>
    <w:rsid w:val="00D604BB"/>
    <w:rsid w:val="00D6062C"/>
    <w:rsid w:val="00D61316"/>
    <w:rsid w:val="00D613A6"/>
    <w:rsid w:val="00D63E86"/>
    <w:rsid w:val="00D63F5F"/>
    <w:rsid w:val="00D640B4"/>
    <w:rsid w:val="00D64F46"/>
    <w:rsid w:val="00D669CF"/>
    <w:rsid w:val="00D7029C"/>
    <w:rsid w:val="00D711A5"/>
    <w:rsid w:val="00D711D7"/>
    <w:rsid w:val="00D717F1"/>
    <w:rsid w:val="00D71BDF"/>
    <w:rsid w:val="00D71E3C"/>
    <w:rsid w:val="00D7228F"/>
    <w:rsid w:val="00D7282C"/>
    <w:rsid w:val="00D731D0"/>
    <w:rsid w:val="00D73A66"/>
    <w:rsid w:val="00D73B52"/>
    <w:rsid w:val="00D740CB"/>
    <w:rsid w:val="00D744FF"/>
    <w:rsid w:val="00D74E72"/>
    <w:rsid w:val="00D75843"/>
    <w:rsid w:val="00D77F1D"/>
    <w:rsid w:val="00D83A06"/>
    <w:rsid w:val="00D840A8"/>
    <w:rsid w:val="00D845B8"/>
    <w:rsid w:val="00D84DDF"/>
    <w:rsid w:val="00D85921"/>
    <w:rsid w:val="00D87F6B"/>
    <w:rsid w:val="00D904A7"/>
    <w:rsid w:val="00D908BF"/>
    <w:rsid w:val="00D9176C"/>
    <w:rsid w:val="00D91A5C"/>
    <w:rsid w:val="00D91D71"/>
    <w:rsid w:val="00D91F2E"/>
    <w:rsid w:val="00D93B20"/>
    <w:rsid w:val="00D94654"/>
    <w:rsid w:val="00D96925"/>
    <w:rsid w:val="00D97F08"/>
    <w:rsid w:val="00DA0623"/>
    <w:rsid w:val="00DA28BA"/>
    <w:rsid w:val="00DA417C"/>
    <w:rsid w:val="00DA4728"/>
    <w:rsid w:val="00DA574D"/>
    <w:rsid w:val="00DA7748"/>
    <w:rsid w:val="00DB02F3"/>
    <w:rsid w:val="00DB03C6"/>
    <w:rsid w:val="00DB3E9E"/>
    <w:rsid w:val="00DB4204"/>
    <w:rsid w:val="00DB42DF"/>
    <w:rsid w:val="00DB4818"/>
    <w:rsid w:val="00DB526E"/>
    <w:rsid w:val="00DB6814"/>
    <w:rsid w:val="00DB7E7C"/>
    <w:rsid w:val="00DC1325"/>
    <w:rsid w:val="00DC179E"/>
    <w:rsid w:val="00DC22E8"/>
    <w:rsid w:val="00DC63A7"/>
    <w:rsid w:val="00DC75FC"/>
    <w:rsid w:val="00DC7749"/>
    <w:rsid w:val="00DC7BE3"/>
    <w:rsid w:val="00DD0291"/>
    <w:rsid w:val="00DD0F96"/>
    <w:rsid w:val="00DD1ABC"/>
    <w:rsid w:val="00DD2920"/>
    <w:rsid w:val="00DD31C0"/>
    <w:rsid w:val="00DD330F"/>
    <w:rsid w:val="00DD3D83"/>
    <w:rsid w:val="00DD6FFB"/>
    <w:rsid w:val="00DD7122"/>
    <w:rsid w:val="00DE2CA1"/>
    <w:rsid w:val="00DE4E46"/>
    <w:rsid w:val="00DE5226"/>
    <w:rsid w:val="00DE637E"/>
    <w:rsid w:val="00DE7EBD"/>
    <w:rsid w:val="00DE7FC2"/>
    <w:rsid w:val="00DF1A60"/>
    <w:rsid w:val="00DF1BD3"/>
    <w:rsid w:val="00DF321B"/>
    <w:rsid w:val="00DF487A"/>
    <w:rsid w:val="00DF52E3"/>
    <w:rsid w:val="00DF5363"/>
    <w:rsid w:val="00DF60C2"/>
    <w:rsid w:val="00DF6433"/>
    <w:rsid w:val="00DF79F7"/>
    <w:rsid w:val="00E00939"/>
    <w:rsid w:val="00E00F68"/>
    <w:rsid w:val="00E00F78"/>
    <w:rsid w:val="00E02973"/>
    <w:rsid w:val="00E0334E"/>
    <w:rsid w:val="00E03A65"/>
    <w:rsid w:val="00E03D5F"/>
    <w:rsid w:val="00E0598A"/>
    <w:rsid w:val="00E06572"/>
    <w:rsid w:val="00E06643"/>
    <w:rsid w:val="00E07796"/>
    <w:rsid w:val="00E11D83"/>
    <w:rsid w:val="00E12462"/>
    <w:rsid w:val="00E1282F"/>
    <w:rsid w:val="00E13454"/>
    <w:rsid w:val="00E1471A"/>
    <w:rsid w:val="00E156AD"/>
    <w:rsid w:val="00E15C0F"/>
    <w:rsid w:val="00E1625A"/>
    <w:rsid w:val="00E16A6A"/>
    <w:rsid w:val="00E1752E"/>
    <w:rsid w:val="00E20566"/>
    <w:rsid w:val="00E21007"/>
    <w:rsid w:val="00E21716"/>
    <w:rsid w:val="00E234DE"/>
    <w:rsid w:val="00E24380"/>
    <w:rsid w:val="00E2689F"/>
    <w:rsid w:val="00E32610"/>
    <w:rsid w:val="00E3515E"/>
    <w:rsid w:val="00E35E69"/>
    <w:rsid w:val="00E37B16"/>
    <w:rsid w:val="00E40003"/>
    <w:rsid w:val="00E40FAD"/>
    <w:rsid w:val="00E41727"/>
    <w:rsid w:val="00E43CA5"/>
    <w:rsid w:val="00E4429F"/>
    <w:rsid w:val="00E44B1C"/>
    <w:rsid w:val="00E44B2E"/>
    <w:rsid w:val="00E45022"/>
    <w:rsid w:val="00E47DCA"/>
    <w:rsid w:val="00E50298"/>
    <w:rsid w:val="00E52386"/>
    <w:rsid w:val="00E53070"/>
    <w:rsid w:val="00E53ACA"/>
    <w:rsid w:val="00E5475C"/>
    <w:rsid w:val="00E5487F"/>
    <w:rsid w:val="00E56DD3"/>
    <w:rsid w:val="00E575D2"/>
    <w:rsid w:val="00E57A17"/>
    <w:rsid w:val="00E62C3F"/>
    <w:rsid w:val="00E63EB5"/>
    <w:rsid w:val="00E64262"/>
    <w:rsid w:val="00E6507E"/>
    <w:rsid w:val="00E657B5"/>
    <w:rsid w:val="00E66622"/>
    <w:rsid w:val="00E742BC"/>
    <w:rsid w:val="00E7490D"/>
    <w:rsid w:val="00E74EC8"/>
    <w:rsid w:val="00E75698"/>
    <w:rsid w:val="00E76B43"/>
    <w:rsid w:val="00E76F6A"/>
    <w:rsid w:val="00E770BD"/>
    <w:rsid w:val="00E801B6"/>
    <w:rsid w:val="00E82CB5"/>
    <w:rsid w:val="00E82D58"/>
    <w:rsid w:val="00E82F9F"/>
    <w:rsid w:val="00E83456"/>
    <w:rsid w:val="00E83AED"/>
    <w:rsid w:val="00E83C9C"/>
    <w:rsid w:val="00E85D51"/>
    <w:rsid w:val="00E86FC0"/>
    <w:rsid w:val="00E9077B"/>
    <w:rsid w:val="00E90F01"/>
    <w:rsid w:val="00E91A92"/>
    <w:rsid w:val="00E91D63"/>
    <w:rsid w:val="00E91DAD"/>
    <w:rsid w:val="00E91F6B"/>
    <w:rsid w:val="00E92116"/>
    <w:rsid w:val="00E92EAF"/>
    <w:rsid w:val="00E92F77"/>
    <w:rsid w:val="00E93ED2"/>
    <w:rsid w:val="00E96358"/>
    <w:rsid w:val="00E96B63"/>
    <w:rsid w:val="00E9701E"/>
    <w:rsid w:val="00EA0608"/>
    <w:rsid w:val="00EA0A95"/>
    <w:rsid w:val="00EA2574"/>
    <w:rsid w:val="00EA4CB5"/>
    <w:rsid w:val="00EA533F"/>
    <w:rsid w:val="00EA7072"/>
    <w:rsid w:val="00EA75A7"/>
    <w:rsid w:val="00EA7814"/>
    <w:rsid w:val="00EB0379"/>
    <w:rsid w:val="00EB19F3"/>
    <w:rsid w:val="00EB4332"/>
    <w:rsid w:val="00EB4CD6"/>
    <w:rsid w:val="00EC04AE"/>
    <w:rsid w:val="00EC20D7"/>
    <w:rsid w:val="00EC3111"/>
    <w:rsid w:val="00EC3D95"/>
    <w:rsid w:val="00EC45BC"/>
    <w:rsid w:val="00EC4B31"/>
    <w:rsid w:val="00EC521E"/>
    <w:rsid w:val="00EC67D5"/>
    <w:rsid w:val="00EC7392"/>
    <w:rsid w:val="00EC7AEB"/>
    <w:rsid w:val="00ED53FF"/>
    <w:rsid w:val="00ED5DDB"/>
    <w:rsid w:val="00ED7C72"/>
    <w:rsid w:val="00EE12BB"/>
    <w:rsid w:val="00EE2874"/>
    <w:rsid w:val="00EE3210"/>
    <w:rsid w:val="00EE3C53"/>
    <w:rsid w:val="00EE56E3"/>
    <w:rsid w:val="00EE64FA"/>
    <w:rsid w:val="00EE6EE5"/>
    <w:rsid w:val="00EE7731"/>
    <w:rsid w:val="00EF11F8"/>
    <w:rsid w:val="00EF3457"/>
    <w:rsid w:val="00EF3FF5"/>
    <w:rsid w:val="00EF7014"/>
    <w:rsid w:val="00F0071D"/>
    <w:rsid w:val="00F007A7"/>
    <w:rsid w:val="00F008A0"/>
    <w:rsid w:val="00F0134D"/>
    <w:rsid w:val="00F01B18"/>
    <w:rsid w:val="00F026DD"/>
    <w:rsid w:val="00F02D12"/>
    <w:rsid w:val="00F03B6F"/>
    <w:rsid w:val="00F06550"/>
    <w:rsid w:val="00F106D9"/>
    <w:rsid w:val="00F112F0"/>
    <w:rsid w:val="00F115A5"/>
    <w:rsid w:val="00F118F6"/>
    <w:rsid w:val="00F16431"/>
    <w:rsid w:val="00F16653"/>
    <w:rsid w:val="00F168D3"/>
    <w:rsid w:val="00F16F5E"/>
    <w:rsid w:val="00F17867"/>
    <w:rsid w:val="00F21B70"/>
    <w:rsid w:val="00F24144"/>
    <w:rsid w:val="00F24DC4"/>
    <w:rsid w:val="00F25495"/>
    <w:rsid w:val="00F25825"/>
    <w:rsid w:val="00F26305"/>
    <w:rsid w:val="00F27EC9"/>
    <w:rsid w:val="00F31404"/>
    <w:rsid w:val="00F31F73"/>
    <w:rsid w:val="00F32735"/>
    <w:rsid w:val="00F328A9"/>
    <w:rsid w:val="00F33C79"/>
    <w:rsid w:val="00F35266"/>
    <w:rsid w:val="00F35A99"/>
    <w:rsid w:val="00F3655D"/>
    <w:rsid w:val="00F410D1"/>
    <w:rsid w:val="00F41789"/>
    <w:rsid w:val="00F41F4C"/>
    <w:rsid w:val="00F42252"/>
    <w:rsid w:val="00F43659"/>
    <w:rsid w:val="00F43776"/>
    <w:rsid w:val="00F44112"/>
    <w:rsid w:val="00F44B07"/>
    <w:rsid w:val="00F46A7B"/>
    <w:rsid w:val="00F47D9C"/>
    <w:rsid w:val="00F50893"/>
    <w:rsid w:val="00F5181B"/>
    <w:rsid w:val="00F52260"/>
    <w:rsid w:val="00F52886"/>
    <w:rsid w:val="00F52AB9"/>
    <w:rsid w:val="00F54DA5"/>
    <w:rsid w:val="00F56567"/>
    <w:rsid w:val="00F56A34"/>
    <w:rsid w:val="00F56E60"/>
    <w:rsid w:val="00F61E40"/>
    <w:rsid w:val="00F62114"/>
    <w:rsid w:val="00F6509C"/>
    <w:rsid w:val="00F651FF"/>
    <w:rsid w:val="00F65B90"/>
    <w:rsid w:val="00F67D92"/>
    <w:rsid w:val="00F70B0A"/>
    <w:rsid w:val="00F70EA3"/>
    <w:rsid w:val="00F71A15"/>
    <w:rsid w:val="00F72368"/>
    <w:rsid w:val="00F747E0"/>
    <w:rsid w:val="00F75028"/>
    <w:rsid w:val="00F751F5"/>
    <w:rsid w:val="00F760ED"/>
    <w:rsid w:val="00F76ABB"/>
    <w:rsid w:val="00F76E9E"/>
    <w:rsid w:val="00F76EC2"/>
    <w:rsid w:val="00F7798B"/>
    <w:rsid w:val="00F77C8C"/>
    <w:rsid w:val="00F812DE"/>
    <w:rsid w:val="00F821FC"/>
    <w:rsid w:val="00F85143"/>
    <w:rsid w:val="00F86288"/>
    <w:rsid w:val="00F8780C"/>
    <w:rsid w:val="00F90254"/>
    <w:rsid w:val="00F9135F"/>
    <w:rsid w:val="00F9177C"/>
    <w:rsid w:val="00F917D5"/>
    <w:rsid w:val="00F91D7A"/>
    <w:rsid w:val="00F93AFC"/>
    <w:rsid w:val="00F94C19"/>
    <w:rsid w:val="00F94D55"/>
    <w:rsid w:val="00F959C9"/>
    <w:rsid w:val="00F95C3D"/>
    <w:rsid w:val="00F96BC2"/>
    <w:rsid w:val="00F97047"/>
    <w:rsid w:val="00FA1A91"/>
    <w:rsid w:val="00FA1FD5"/>
    <w:rsid w:val="00FA2572"/>
    <w:rsid w:val="00FA30A2"/>
    <w:rsid w:val="00FA3FF3"/>
    <w:rsid w:val="00FA516F"/>
    <w:rsid w:val="00FA60BB"/>
    <w:rsid w:val="00FA69BF"/>
    <w:rsid w:val="00FA6C73"/>
    <w:rsid w:val="00FA7268"/>
    <w:rsid w:val="00FA759C"/>
    <w:rsid w:val="00FA7991"/>
    <w:rsid w:val="00FB042D"/>
    <w:rsid w:val="00FB06CA"/>
    <w:rsid w:val="00FB078E"/>
    <w:rsid w:val="00FB0977"/>
    <w:rsid w:val="00FB2756"/>
    <w:rsid w:val="00FB43D8"/>
    <w:rsid w:val="00FB4EFC"/>
    <w:rsid w:val="00FB55AB"/>
    <w:rsid w:val="00FB6096"/>
    <w:rsid w:val="00FB7388"/>
    <w:rsid w:val="00FB797A"/>
    <w:rsid w:val="00FC1718"/>
    <w:rsid w:val="00FC22F3"/>
    <w:rsid w:val="00FC3220"/>
    <w:rsid w:val="00FC35F2"/>
    <w:rsid w:val="00FC3B7E"/>
    <w:rsid w:val="00FC47E6"/>
    <w:rsid w:val="00FC5067"/>
    <w:rsid w:val="00FC6677"/>
    <w:rsid w:val="00FC6E99"/>
    <w:rsid w:val="00FC75D2"/>
    <w:rsid w:val="00FC7D2B"/>
    <w:rsid w:val="00FD0657"/>
    <w:rsid w:val="00FD0728"/>
    <w:rsid w:val="00FD0A6D"/>
    <w:rsid w:val="00FD0E8E"/>
    <w:rsid w:val="00FD1782"/>
    <w:rsid w:val="00FD1B63"/>
    <w:rsid w:val="00FD4563"/>
    <w:rsid w:val="00FE0629"/>
    <w:rsid w:val="00FE1864"/>
    <w:rsid w:val="00FE2684"/>
    <w:rsid w:val="00FE46B9"/>
    <w:rsid w:val="00FE55A7"/>
    <w:rsid w:val="00FE5D31"/>
    <w:rsid w:val="00FE667B"/>
    <w:rsid w:val="00FE6D42"/>
    <w:rsid w:val="00FE717B"/>
    <w:rsid w:val="00FF1ABC"/>
    <w:rsid w:val="00FF253C"/>
    <w:rsid w:val="00FF48A1"/>
    <w:rsid w:val="00FF495D"/>
    <w:rsid w:val="00FF7D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387B0"/>
  <w15:docId w15:val="{639335C7-3784-4B60-A6FD-62332F41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de-DE" w:eastAsia="en-US" w:bidi="ar-SA"/>
      </w:rPr>
    </w:rPrDefault>
    <w:pPrDefault>
      <w:pPr>
        <w:spacing w:after="160" w:line="288" w:lineRule="auto"/>
        <w:ind w:left="2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52260"/>
    <w:pPr>
      <w:spacing w:after="240"/>
      <w:ind w:left="0"/>
      <w:jc w:val="both"/>
    </w:pPr>
    <w:rPr>
      <w:rFonts w:ascii="Arial" w:hAnsi="Arial" w:cs="Arial"/>
      <w:color w:val="3C505A" w:themeColor="text1"/>
      <w:szCs w:val="24"/>
      <w:lang w:val="en-GB"/>
    </w:rPr>
  </w:style>
  <w:style w:type="paragraph" w:styleId="berschrift1">
    <w:name w:val="heading 1"/>
    <w:basedOn w:val="Standard"/>
    <w:next w:val="Standard"/>
    <w:link w:val="berschrift1Zchn"/>
    <w:uiPriority w:val="9"/>
    <w:qFormat/>
    <w:rsid w:val="00ED5DDB"/>
    <w:pPr>
      <w:spacing w:before="480" w:line="276" w:lineRule="auto"/>
      <w:outlineLvl w:val="0"/>
    </w:pPr>
    <w:rPr>
      <w:rFonts w:eastAsiaTheme="majorEastAsia" w:cstheme="majorBidi"/>
      <w:b/>
      <w:color w:val="009EE0" w:themeColor="text2"/>
      <w:sz w:val="24"/>
      <w:szCs w:val="32"/>
    </w:rPr>
  </w:style>
  <w:style w:type="paragraph" w:styleId="berschrift2">
    <w:name w:val="heading 2"/>
    <w:basedOn w:val="Standard"/>
    <w:next w:val="Standard"/>
    <w:link w:val="berschrift2Zchn"/>
    <w:uiPriority w:val="9"/>
    <w:unhideWhenUsed/>
    <w:qFormat/>
    <w:rsid w:val="00B93206"/>
    <w:pPr>
      <w:spacing w:line="276" w:lineRule="auto"/>
      <w:outlineLvl w:val="1"/>
    </w:pPr>
    <w:rPr>
      <w:rFonts w:eastAsiaTheme="majorEastAsia" w:cstheme="majorBidi"/>
      <w:b/>
      <w:szCs w:val="28"/>
    </w:rPr>
  </w:style>
  <w:style w:type="paragraph" w:styleId="berschrift3">
    <w:name w:val="heading 3"/>
    <w:basedOn w:val="Standard"/>
    <w:next w:val="Standard"/>
    <w:link w:val="berschrift3Zchn"/>
    <w:uiPriority w:val="9"/>
    <w:unhideWhenUsed/>
    <w:qFormat/>
    <w:rsid w:val="00D41D36"/>
    <w:pPr>
      <w:spacing w:before="120" w:after="60" w:line="240" w:lineRule="auto"/>
      <w:outlineLvl w:val="2"/>
    </w:pPr>
    <w:rPr>
      <w:rFonts w:asciiTheme="majorHAnsi" w:eastAsiaTheme="majorEastAsia" w:hAnsiTheme="majorHAnsi" w:cstheme="majorBidi"/>
      <w:smallCaps/>
      <w:color w:val="009EE0" w:themeColor="text2"/>
      <w:spacing w:val="20"/>
      <w:sz w:val="24"/>
    </w:rPr>
  </w:style>
  <w:style w:type="paragraph" w:styleId="berschrift4">
    <w:name w:val="heading 4"/>
    <w:basedOn w:val="Standard"/>
    <w:next w:val="Standard"/>
    <w:link w:val="berschrift4Zchn"/>
    <w:uiPriority w:val="9"/>
    <w:semiHidden/>
    <w:unhideWhenUsed/>
    <w:qFormat/>
    <w:rsid w:val="00D41D36"/>
    <w:pPr>
      <w:pBdr>
        <w:bottom w:val="single" w:sz="4" w:space="1" w:color="70D4FF" w:themeColor="text2" w:themeTint="7F"/>
      </w:pBdr>
      <w:spacing w:before="200" w:after="100" w:line="240" w:lineRule="auto"/>
      <w:outlineLvl w:val="3"/>
    </w:pPr>
    <w:rPr>
      <w:rFonts w:asciiTheme="majorHAnsi" w:eastAsiaTheme="majorEastAsia" w:hAnsiTheme="majorHAnsi" w:cstheme="majorBidi"/>
      <w:b/>
      <w:bCs/>
      <w:smallCaps/>
      <w:color w:val="28BFFF" w:themeColor="text2" w:themeTint="BF"/>
      <w:spacing w:val="20"/>
    </w:rPr>
  </w:style>
  <w:style w:type="paragraph" w:styleId="berschrift5">
    <w:name w:val="heading 5"/>
    <w:basedOn w:val="Standard"/>
    <w:next w:val="Standard"/>
    <w:link w:val="berschrift5Zchn"/>
    <w:uiPriority w:val="9"/>
    <w:semiHidden/>
    <w:unhideWhenUsed/>
    <w:qFormat/>
    <w:rsid w:val="00D41D36"/>
    <w:pPr>
      <w:pBdr>
        <w:bottom w:val="single" w:sz="4" w:space="1" w:color="53CBFF" w:themeColor="text2" w:themeTint="99"/>
      </w:pBdr>
      <w:spacing w:before="200" w:after="100" w:line="240" w:lineRule="auto"/>
      <w:outlineLvl w:val="4"/>
    </w:pPr>
    <w:rPr>
      <w:rFonts w:asciiTheme="majorHAnsi" w:eastAsiaTheme="majorEastAsia" w:hAnsiTheme="majorHAnsi" w:cstheme="majorBidi"/>
      <w:smallCaps/>
      <w:color w:val="28BFFF" w:themeColor="text2" w:themeTint="BF"/>
      <w:spacing w:val="20"/>
    </w:rPr>
  </w:style>
  <w:style w:type="paragraph" w:styleId="berschrift6">
    <w:name w:val="heading 6"/>
    <w:basedOn w:val="Standard"/>
    <w:next w:val="Standard"/>
    <w:link w:val="berschrift6Zchn"/>
    <w:uiPriority w:val="9"/>
    <w:semiHidden/>
    <w:unhideWhenUsed/>
    <w:qFormat/>
    <w:rsid w:val="00D41D36"/>
    <w:pPr>
      <w:pBdr>
        <w:bottom w:val="dotted" w:sz="8" w:space="1" w:color="7F7F7F" w:themeColor="background2" w:themeShade="7F"/>
      </w:pBdr>
      <w:spacing w:before="200" w:after="100"/>
      <w:outlineLvl w:val="5"/>
    </w:pPr>
    <w:rPr>
      <w:rFonts w:asciiTheme="majorHAnsi" w:eastAsiaTheme="majorEastAsia" w:hAnsiTheme="majorHAnsi" w:cstheme="majorBidi"/>
      <w:smallCaps/>
      <w:color w:val="7F7F7F" w:themeColor="background2" w:themeShade="7F"/>
      <w:spacing w:val="20"/>
    </w:rPr>
  </w:style>
  <w:style w:type="paragraph" w:styleId="berschrift7">
    <w:name w:val="heading 7"/>
    <w:basedOn w:val="Standard"/>
    <w:next w:val="Standard"/>
    <w:link w:val="berschrift7Zchn"/>
    <w:uiPriority w:val="9"/>
    <w:semiHidden/>
    <w:unhideWhenUsed/>
    <w:qFormat/>
    <w:rsid w:val="00D41D36"/>
    <w:pPr>
      <w:pBdr>
        <w:bottom w:val="dotted" w:sz="8" w:space="1" w:color="7F7F7F" w:themeColor="background2" w:themeShade="7F"/>
      </w:pBdr>
      <w:spacing w:before="200" w:after="100" w:line="240" w:lineRule="auto"/>
      <w:outlineLvl w:val="6"/>
    </w:pPr>
    <w:rPr>
      <w:rFonts w:asciiTheme="majorHAnsi" w:eastAsiaTheme="majorEastAsia" w:hAnsiTheme="majorHAnsi" w:cstheme="majorBidi"/>
      <w:b/>
      <w:bCs/>
      <w:smallCaps/>
      <w:color w:val="7F7F7F" w:themeColor="background2" w:themeShade="7F"/>
      <w:spacing w:val="20"/>
      <w:sz w:val="16"/>
      <w:szCs w:val="16"/>
    </w:rPr>
  </w:style>
  <w:style w:type="paragraph" w:styleId="berschrift8">
    <w:name w:val="heading 8"/>
    <w:basedOn w:val="Standard"/>
    <w:next w:val="Standard"/>
    <w:link w:val="berschrift8Zchn"/>
    <w:uiPriority w:val="9"/>
    <w:semiHidden/>
    <w:unhideWhenUsed/>
    <w:qFormat/>
    <w:rsid w:val="00D41D36"/>
    <w:pPr>
      <w:spacing w:before="200" w:after="60" w:line="240" w:lineRule="auto"/>
      <w:outlineLvl w:val="7"/>
    </w:pPr>
    <w:rPr>
      <w:rFonts w:asciiTheme="majorHAnsi" w:eastAsiaTheme="majorEastAsia" w:hAnsiTheme="majorHAnsi" w:cstheme="majorBidi"/>
      <w:b/>
      <w:smallCaps/>
      <w:color w:val="7F7F7F" w:themeColor="background2" w:themeShade="7F"/>
      <w:spacing w:val="20"/>
      <w:sz w:val="16"/>
      <w:szCs w:val="16"/>
    </w:rPr>
  </w:style>
  <w:style w:type="paragraph" w:styleId="berschrift9">
    <w:name w:val="heading 9"/>
    <w:basedOn w:val="Standard"/>
    <w:next w:val="Standard"/>
    <w:link w:val="berschrift9Zchn"/>
    <w:uiPriority w:val="9"/>
    <w:semiHidden/>
    <w:unhideWhenUsed/>
    <w:qFormat/>
    <w:rsid w:val="00D41D36"/>
    <w:pPr>
      <w:spacing w:before="200" w:after="60" w:line="240" w:lineRule="auto"/>
      <w:outlineLvl w:val="8"/>
    </w:pPr>
    <w:rPr>
      <w:rFonts w:asciiTheme="majorHAnsi" w:eastAsiaTheme="majorEastAsia" w:hAnsiTheme="majorHAnsi" w:cstheme="majorBidi"/>
      <w:smallCaps/>
      <w:color w:val="7F7F7F" w:themeColor="background2" w:themeShade="7F"/>
      <w:spacing w:val="20"/>
      <w:sz w:val="16"/>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link w:val="KeinLeerraumZchn"/>
    <w:uiPriority w:val="1"/>
    <w:qFormat/>
    <w:rsid w:val="00D41D36"/>
    <w:pPr>
      <w:spacing w:after="0" w:line="240" w:lineRule="auto"/>
    </w:pPr>
  </w:style>
  <w:style w:type="character" w:customStyle="1" w:styleId="KeinLeerraumZchn">
    <w:name w:val="Kein Leerraum Zchn"/>
    <w:basedOn w:val="Absatz-Standardschriftart"/>
    <w:link w:val="KeinLeerraum"/>
    <w:uiPriority w:val="1"/>
    <w:rsid w:val="00FA60BB"/>
    <w:rPr>
      <w:color w:val="7392A1" w:themeColor="text1" w:themeTint="A5"/>
    </w:rPr>
  </w:style>
  <w:style w:type="character" w:customStyle="1" w:styleId="berschrift1Zchn">
    <w:name w:val="Überschrift 1 Zchn"/>
    <w:basedOn w:val="Absatz-Standardschriftart"/>
    <w:link w:val="berschrift1"/>
    <w:uiPriority w:val="9"/>
    <w:rsid w:val="00ED5DDB"/>
    <w:rPr>
      <w:rFonts w:ascii="Arial" w:eastAsiaTheme="majorEastAsia" w:hAnsi="Arial" w:cstheme="majorBidi"/>
      <w:b/>
      <w:color w:val="009EE0" w:themeColor="text2"/>
      <w:sz w:val="24"/>
      <w:szCs w:val="32"/>
    </w:rPr>
  </w:style>
  <w:style w:type="character" w:customStyle="1" w:styleId="berschrift2Zchn">
    <w:name w:val="Überschrift 2 Zchn"/>
    <w:basedOn w:val="Absatz-Standardschriftart"/>
    <w:link w:val="berschrift2"/>
    <w:uiPriority w:val="9"/>
    <w:rsid w:val="00B93206"/>
    <w:rPr>
      <w:rFonts w:ascii="Arial" w:eastAsiaTheme="majorEastAsia" w:hAnsi="Arial" w:cstheme="majorBidi"/>
      <w:b/>
      <w:color w:val="3C505A" w:themeColor="text1"/>
      <w:szCs w:val="28"/>
    </w:rPr>
  </w:style>
  <w:style w:type="character" w:customStyle="1" w:styleId="berschrift3Zchn">
    <w:name w:val="Überschrift 3 Zchn"/>
    <w:basedOn w:val="Absatz-Standardschriftart"/>
    <w:link w:val="berschrift3"/>
    <w:uiPriority w:val="9"/>
    <w:rsid w:val="00D41D36"/>
    <w:rPr>
      <w:rFonts w:asciiTheme="majorHAnsi" w:eastAsiaTheme="majorEastAsia" w:hAnsiTheme="majorHAnsi" w:cstheme="majorBidi"/>
      <w:smallCaps/>
      <w:color w:val="009EE0" w:themeColor="text2"/>
      <w:spacing w:val="20"/>
      <w:sz w:val="24"/>
      <w:szCs w:val="24"/>
    </w:rPr>
  </w:style>
  <w:style w:type="character" w:customStyle="1" w:styleId="berschrift4Zchn">
    <w:name w:val="Überschrift 4 Zchn"/>
    <w:basedOn w:val="Absatz-Standardschriftart"/>
    <w:link w:val="berschrift4"/>
    <w:uiPriority w:val="9"/>
    <w:semiHidden/>
    <w:rsid w:val="00D41D36"/>
    <w:rPr>
      <w:rFonts w:asciiTheme="majorHAnsi" w:eastAsiaTheme="majorEastAsia" w:hAnsiTheme="majorHAnsi" w:cstheme="majorBidi"/>
      <w:b/>
      <w:bCs/>
      <w:smallCaps/>
      <w:color w:val="28BFFF" w:themeColor="text2" w:themeTint="BF"/>
      <w:spacing w:val="20"/>
    </w:rPr>
  </w:style>
  <w:style w:type="character" w:customStyle="1" w:styleId="berschrift5Zchn">
    <w:name w:val="Überschrift 5 Zchn"/>
    <w:basedOn w:val="Absatz-Standardschriftart"/>
    <w:link w:val="berschrift5"/>
    <w:uiPriority w:val="9"/>
    <w:semiHidden/>
    <w:rsid w:val="00D41D36"/>
    <w:rPr>
      <w:rFonts w:asciiTheme="majorHAnsi" w:eastAsiaTheme="majorEastAsia" w:hAnsiTheme="majorHAnsi" w:cstheme="majorBidi"/>
      <w:smallCaps/>
      <w:color w:val="28BFFF" w:themeColor="text2" w:themeTint="BF"/>
      <w:spacing w:val="20"/>
    </w:rPr>
  </w:style>
  <w:style w:type="character" w:customStyle="1" w:styleId="berschrift6Zchn">
    <w:name w:val="Überschrift 6 Zchn"/>
    <w:basedOn w:val="Absatz-Standardschriftart"/>
    <w:link w:val="berschrift6"/>
    <w:uiPriority w:val="9"/>
    <w:semiHidden/>
    <w:rsid w:val="00D41D36"/>
    <w:rPr>
      <w:rFonts w:asciiTheme="majorHAnsi" w:eastAsiaTheme="majorEastAsia" w:hAnsiTheme="majorHAnsi" w:cstheme="majorBidi"/>
      <w:smallCaps/>
      <w:color w:val="7F7F7F" w:themeColor="background2" w:themeShade="7F"/>
      <w:spacing w:val="20"/>
    </w:rPr>
  </w:style>
  <w:style w:type="character" w:customStyle="1" w:styleId="berschrift7Zchn">
    <w:name w:val="Überschrift 7 Zchn"/>
    <w:basedOn w:val="Absatz-Standardschriftart"/>
    <w:link w:val="berschrift7"/>
    <w:uiPriority w:val="9"/>
    <w:semiHidden/>
    <w:rsid w:val="00D41D36"/>
    <w:rPr>
      <w:rFonts w:asciiTheme="majorHAnsi" w:eastAsiaTheme="majorEastAsia" w:hAnsiTheme="majorHAnsi" w:cstheme="majorBidi"/>
      <w:b/>
      <w:bCs/>
      <w:smallCaps/>
      <w:color w:val="7F7F7F" w:themeColor="background2" w:themeShade="7F"/>
      <w:spacing w:val="20"/>
      <w:sz w:val="16"/>
      <w:szCs w:val="16"/>
    </w:rPr>
  </w:style>
  <w:style w:type="character" w:customStyle="1" w:styleId="berschrift8Zchn">
    <w:name w:val="Überschrift 8 Zchn"/>
    <w:basedOn w:val="Absatz-Standardschriftart"/>
    <w:link w:val="berschrift8"/>
    <w:uiPriority w:val="9"/>
    <w:semiHidden/>
    <w:rsid w:val="00D41D36"/>
    <w:rPr>
      <w:rFonts w:asciiTheme="majorHAnsi" w:eastAsiaTheme="majorEastAsia" w:hAnsiTheme="majorHAnsi" w:cstheme="majorBidi"/>
      <w:b/>
      <w:smallCaps/>
      <w:color w:val="7F7F7F" w:themeColor="background2" w:themeShade="7F"/>
      <w:spacing w:val="20"/>
      <w:sz w:val="16"/>
      <w:szCs w:val="16"/>
    </w:rPr>
  </w:style>
  <w:style w:type="character" w:customStyle="1" w:styleId="berschrift9Zchn">
    <w:name w:val="Überschrift 9 Zchn"/>
    <w:basedOn w:val="Absatz-Standardschriftart"/>
    <w:link w:val="berschrift9"/>
    <w:uiPriority w:val="9"/>
    <w:semiHidden/>
    <w:rsid w:val="00D41D36"/>
    <w:rPr>
      <w:rFonts w:asciiTheme="majorHAnsi" w:eastAsiaTheme="majorEastAsia" w:hAnsiTheme="majorHAnsi" w:cstheme="majorBidi"/>
      <w:smallCaps/>
      <w:color w:val="7F7F7F" w:themeColor="background2" w:themeShade="7F"/>
      <w:spacing w:val="20"/>
      <w:sz w:val="16"/>
      <w:szCs w:val="16"/>
    </w:rPr>
  </w:style>
  <w:style w:type="paragraph" w:styleId="Beschriftung">
    <w:name w:val="caption"/>
    <w:basedOn w:val="Standard"/>
    <w:next w:val="Standard"/>
    <w:uiPriority w:val="35"/>
    <w:semiHidden/>
    <w:unhideWhenUsed/>
    <w:qFormat/>
    <w:rsid w:val="00D41D36"/>
    <w:rPr>
      <w:b/>
      <w:bCs/>
      <w:smallCaps/>
      <w:color w:val="009EE0" w:themeColor="text2"/>
      <w:spacing w:val="10"/>
      <w:szCs w:val="18"/>
    </w:rPr>
  </w:style>
  <w:style w:type="paragraph" w:styleId="Titel">
    <w:name w:val="Title"/>
    <w:basedOn w:val="berschrift1"/>
    <w:next w:val="Untertitel"/>
    <w:link w:val="TitelZchn"/>
    <w:uiPriority w:val="10"/>
    <w:qFormat/>
    <w:rsid w:val="00D136FF"/>
    <w:pPr>
      <w:suppressAutoHyphens/>
      <w:spacing w:before="0" w:after="80" w:line="288" w:lineRule="auto"/>
      <w:jc w:val="left"/>
    </w:pPr>
    <w:rPr>
      <w:color w:val="FFFFFF" w:themeColor="background1"/>
      <w:spacing w:val="5"/>
      <w:sz w:val="48"/>
      <w:szCs w:val="72"/>
    </w:rPr>
  </w:style>
  <w:style w:type="character" w:customStyle="1" w:styleId="TitelZchn">
    <w:name w:val="Titel Zchn"/>
    <w:basedOn w:val="Absatz-Standardschriftart"/>
    <w:link w:val="Titel"/>
    <w:uiPriority w:val="10"/>
    <w:rsid w:val="00D136FF"/>
    <w:rPr>
      <w:rFonts w:ascii="Arial" w:eastAsiaTheme="majorEastAsia" w:hAnsi="Arial" w:cstheme="majorBidi"/>
      <w:b/>
      <w:color w:val="FFFFFF" w:themeColor="background1"/>
      <w:spacing w:val="5"/>
      <w:sz w:val="48"/>
      <w:szCs w:val="72"/>
      <w:lang w:val="en-GB"/>
    </w:rPr>
  </w:style>
  <w:style w:type="paragraph" w:styleId="Untertitel">
    <w:name w:val="Subtitle"/>
    <w:basedOn w:val="berschrift1"/>
    <w:link w:val="UntertitelZchn"/>
    <w:uiPriority w:val="11"/>
    <w:qFormat/>
    <w:rsid w:val="000B3505"/>
    <w:pPr>
      <w:spacing w:before="0" w:after="0" w:line="288" w:lineRule="auto"/>
    </w:pPr>
    <w:rPr>
      <w:rFonts w:ascii="Times New Roman" w:hAnsi="Times New Roman"/>
      <w:b w:val="0"/>
      <w:i/>
      <w:color w:val="FFFFFF" w:themeColor="background1"/>
      <w:spacing w:val="5"/>
      <w:sz w:val="28"/>
      <w:szCs w:val="28"/>
    </w:rPr>
  </w:style>
  <w:style w:type="character" w:customStyle="1" w:styleId="UntertitelZchn">
    <w:name w:val="Untertitel Zchn"/>
    <w:basedOn w:val="Absatz-Standardschriftart"/>
    <w:link w:val="Untertitel"/>
    <w:uiPriority w:val="11"/>
    <w:rsid w:val="000B3505"/>
    <w:rPr>
      <w:rFonts w:ascii="Times New Roman" w:eastAsiaTheme="majorEastAsia" w:hAnsi="Times New Roman" w:cstheme="majorBidi"/>
      <w:i/>
      <w:color w:val="FFFFFF" w:themeColor="background1"/>
      <w:spacing w:val="5"/>
      <w:sz w:val="28"/>
      <w:szCs w:val="28"/>
    </w:rPr>
  </w:style>
  <w:style w:type="character" w:styleId="Fett">
    <w:name w:val="Strong"/>
    <w:uiPriority w:val="22"/>
    <w:qFormat/>
    <w:rsid w:val="00D41D36"/>
    <w:rPr>
      <w:b/>
      <w:bCs/>
      <w:spacing w:val="0"/>
    </w:rPr>
  </w:style>
  <w:style w:type="character" w:styleId="Hervorhebung">
    <w:name w:val="Emphasis"/>
    <w:basedOn w:val="AuszugZchn"/>
    <w:uiPriority w:val="20"/>
    <w:qFormat/>
    <w:rsid w:val="004370B4"/>
    <w:rPr>
      <w:rFonts w:ascii="Times New Roman" w:eastAsiaTheme="majorEastAsia" w:hAnsi="Times New Roman" w:cstheme="majorBidi"/>
      <w:b w:val="0"/>
      <w:bCs/>
      <w:caps w:val="0"/>
      <w:smallCaps w:val="0"/>
      <w:strike w:val="0"/>
      <w:dstrike w:val="0"/>
      <w:vanish w:val="0"/>
      <w:color w:val="7392A1" w:themeColor="text1" w:themeTint="A5"/>
      <w:spacing w:val="0"/>
      <w:kern w:val="0"/>
      <w:sz w:val="28"/>
      <w:szCs w:val="28"/>
      <w:u w:val="none"/>
      <w:vertAlign w:val="baseline"/>
    </w:rPr>
  </w:style>
  <w:style w:type="paragraph" w:styleId="Listenabsatz">
    <w:name w:val="List Paragraph"/>
    <w:basedOn w:val="Standard"/>
    <w:uiPriority w:val="34"/>
    <w:qFormat/>
    <w:rsid w:val="00801646"/>
    <w:pPr>
      <w:numPr>
        <w:numId w:val="3"/>
      </w:numPr>
    </w:pPr>
  </w:style>
  <w:style w:type="paragraph" w:styleId="Zitat">
    <w:name w:val="Quote"/>
    <w:basedOn w:val="Standard"/>
    <w:next w:val="Standard"/>
    <w:link w:val="ZitatZchn"/>
    <w:uiPriority w:val="29"/>
    <w:qFormat/>
    <w:rsid w:val="00D41D36"/>
    <w:rPr>
      <w:i/>
      <w:iCs/>
    </w:rPr>
  </w:style>
  <w:style w:type="character" w:customStyle="1" w:styleId="ZitatZchn">
    <w:name w:val="Zitat Zchn"/>
    <w:basedOn w:val="Absatz-Standardschriftart"/>
    <w:link w:val="Zitat"/>
    <w:uiPriority w:val="29"/>
    <w:rsid w:val="00D41D36"/>
    <w:rPr>
      <w:i/>
      <w:iCs/>
      <w:color w:val="7392A1" w:themeColor="text1" w:themeTint="A5"/>
    </w:rPr>
  </w:style>
  <w:style w:type="paragraph" w:styleId="IntensivesZitat">
    <w:name w:val="Intense Quote"/>
    <w:basedOn w:val="Standard"/>
    <w:next w:val="Standard"/>
    <w:link w:val="IntensivesZitatZchn"/>
    <w:uiPriority w:val="30"/>
    <w:qFormat/>
    <w:rsid w:val="00D41D36"/>
    <w:pPr>
      <w:pBdr>
        <w:top w:val="single" w:sz="4" w:space="12" w:color="28BFFF" w:themeColor="accent1" w:themeTint="BF"/>
        <w:left w:val="single" w:sz="4" w:space="15" w:color="28BFFF" w:themeColor="accent1" w:themeTint="BF"/>
        <w:bottom w:val="single" w:sz="12" w:space="10" w:color="0075A7" w:themeColor="accent1" w:themeShade="BF"/>
        <w:right w:val="single" w:sz="12" w:space="15" w:color="0075A7" w:themeColor="accent1" w:themeShade="BF"/>
        <w:between w:val="single" w:sz="4" w:space="12" w:color="28BFFF" w:themeColor="accent1" w:themeTint="BF"/>
        <w:bar w:val="single" w:sz="4" w:color="28BFFF" w:themeColor="accent1" w:themeTint="BF"/>
      </w:pBdr>
      <w:spacing w:line="300" w:lineRule="auto"/>
      <w:ind w:left="2506" w:right="432"/>
    </w:pPr>
    <w:rPr>
      <w:rFonts w:asciiTheme="majorHAnsi" w:eastAsiaTheme="majorEastAsia" w:hAnsiTheme="majorHAnsi" w:cstheme="majorBidi"/>
      <w:smallCaps/>
      <w:color w:val="0075A7" w:themeColor="accent1" w:themeShade="BF"/>
    </w:rPr>
  </w:style>
  <w:style w:type="character" w:customStyle="1" w:styleId="IntensivesZitatZchn">
    <w:name w:val="Intensives Zitat Zchn"/>
    <w:basedOn w:val="Absatz-Standardschriftart"/>
    <w:link w:val="IntensivesZitat"/>
    <w:uiPriority w:val="30"/>
    <w:rsid w:val="00D41D36"/>
    <w:rPr>
      <w:rFonts w:asciiTheme="majorHAnsi" w:eastAsiaTheme="majorEastAsia" w:hAnsiTheme="majorHAnsi" w:cstheme="majorBidi"/>
      <w:smallCaps/>
      <w:color w:val="0075A7" w:themeColor="accent1" w:themeShade="BF"/>
    </w:rPr>
  </w:style>
  <w:style w:type="character" w:styleId="SchwacheHervorhebung">
    <w:name w:val="Subtle Emphasis"/>
    <w:uiPriority w:val="19"/>
    <w:semiHidden/>
    <w:qFormat/>
    <w:rsid w:val="00974F5B"/>
    <w:rPr>
      <w:rFonts w:ascii="Times New Roman" w:hAnsi="Times New Roman"/>
      <w:caps w:val="0"/>
      <w:smallCaps w:val="0"/>
      <w:strike w:val="0"/>
      <w:dstrike w:val="0"/>
      <w:vanish w:val="0"/>
      <w:color w:val="66C5EC" w:themeColor="accent3"/>
      <w:sz w:val="18"/>
      <w:vertAlign w:val="baseline"/>
    </w:rPr>
  </w:style>
  <w:style w:type="character" w:styleId="IntensiveHervorhebung">
    <w:name w:val="Intense Emphasis"/>
    <w:uiPriority w:val="21"/>
    <w:qFormat/>
    <w:rsid w:val="00D41D36"/>
    <w:rPr>
      <w:b/>
      <w:bCs/>
      <w:smallCaps/>
      <w:color w:val="009EE0" w:themeColor="accent1"/>
      <w:spacing w:val="40"/>
    </w:rPr>
  </w:style>
  <w:style w:type="character" w:styleId="SchwacherVerweis">
    <w:name w:val="Subtle Reference"/>
    <w:uiPriority w:val="31"/>
    <w:qFormat/>
    <w:rsid w:val="00D41D36"/>
    <w:rPr>
      <w:rFonts w:asciiTheme="majorHAnsi" w:eastAsiaTheme="majorEastAsia" w:hAnsiTheme="majorHAnsi" w:cstheme="majorBidi"/>
      <w:i/>
      <w:iCs/>
      <w:smallCaps/>
      <w:color w:val="7392A1" w:themeColor="text1" w:themeTint="A5"/>
      <w:spacing w:val="20"/>
    </w:rPr>
  </w:style>
  <w:style w:type="character" w:styleId="IntensiverVerweis">
    <w:name w:val="Intense Reference"/>
    <w:uiPriority w:val="32"/>
    <w:qFormat/>
    <w:rsid w:val="00D41D36"/>
    <w:rPr>
      <w:rFonts w:asciiTheme="majorHAnsi" w:eastAsiaTheme="majorEastAsia" w:hAnsiTheme="majorHAnsi" w:cstheme="majorBidi"/>
      <w:b/>
      <w:bCs/>
      <w:i/>
      <w:iCs/>
      <w:smallCaps/>
      <w:color w:val="0075A7" w:themeColor="text2" w:themeShade="BF"/>
      <w:spacing w:val="20"/>
    </w:rPr>
  </w:style>
  <w:style w:type="character" w:styleId="Buchtitel">
    <w:name w:val="Book Title"/>
    <w:uiPriority w:val="33"/>
    <w:qFormat/>
    <w:rsid w:val="00D41D36"/>
    <w:rPr>
      <w:rFonts w:asciiTheme="majorHAnsi" w:eastAsiaTheme="majorEastAsia" w:hAnsiTheme="majorHAnsi" w:cstheme="majorBidi"/>
      <w:b/>
      <w:bCs/>
      <w:smallCaps/>
      <w:color w:val="0075A7" w:themeColor="text2" w:themeShade="BF"/>
      <w:spacing w:val="10"/>
      <w:u w:val="single"/>
    </w:rPr>
  </w:style>
  <w:style w:type="paragraph" w:styleId="Inhaltsverzeichnisberschrift">
    <w:name w:val="TOC Heading"/>
    <w:basedOn w:val="berschrift1"/>
    <w:next w:val="Standard"/>
    <w:uiPriority w:val="39"/>
    <w:unhideWhenUsed/>
    <w:qFormat/>
    <w:rsid w:val="00ED5DDB"/>
    <w:pPr>
      <w:spacing w:before="0" w:after="480" w:line="288" w:lineRule="auto"/>
      <w:outlineLvl w:val="9"/>
    </w:pPr>
    <w:rPr>
      <w:lang w:bidi="en-US"/>
    </w:rPr>
  </w:style>
  <w:style w:type="paragraph" w:styleId="Kopfzeile">
    <w:name w:val="header"/>
    <w:basedOn w:val="Fuzeile"/>
    <w:link w:val="KopfzeileZchn"/>
    <w:uiPriority w:val="99"/>
    <w:unhideWhenUsed/>
    <w:rsid w:val="00DF6433"/>
  </w:style>
  <w:style w:type="character" w:customStyle="1" w:styleId="KopfzeileZchn">
    <w:name w:val="Kopfzeile Zchn"/>
    <w:basedOn w:val="Absatz-Standardschriftart"/>
    <w:link w:val="Kopfzeile"/>
    <w:uiPriority w:val="99"/>
    <w:rsid w:val="00DF6433"/>
    <w:rPr>
      <w:rFonts w:ascii="Arial" w:hAnsi="Arial"/>
      <w:b/>
      <w:color w:val="7392A1" w:themeColor="text1" w:themeTint="A5"/>
      <w:sz w:val="14"/>
      <w:szCs w:val="14"/>
    </w:rPr>
  </w:style>
  <w:style w:type="paragraph" w:styleId="Fuzeile">
    <w:name w:val="footer"/>
    <w:basedOn w:val="Standard"/>
    <w:link w:val="FuzeileZchn"/>
    <w:uiPriority w:val="99"/>
    <w:unhideWhenUsed/>
    <w:rsid w:val="00DF6433"/>
    <w:pPr>
      <w:tabs>
        <w:tab w:val="center" w:pos="4536"/>
        <w:tab w:val="right" w:pos="9072"/>
      </w:tabs>
      <w:spacing w:after="0" w:line="240" w:lineRule="auto"/>
      <w:jc w:val="right"/>
    </w:pPr>
    <w:rPr>
      <w:b/>
      <w:sz w:val="14"/>
      <w:szCs w:val="14"/>
    </w:rPr>
  </w:style>
  <w:style w:type="character" w:customStyle="1" w:styleId="FuzeileZchn">
    <w:name w:val="Fußzeile Zchn"/>
    <w:basedOn w:val="Absatz-Standardschriftart"/>
    <w:link w:val="Fuzeile"/>
    <w:uiPriority w:val="99"/>
    <w:rsid w:val="00DF6433"/>
    <w:rPr>
      <w:rFonts w:ascii="Arial" w:hAnsi="Arial"/>
      <w:b/>
      <w:color w:val="7392A1" w:themeColor="text1" w:themeTint="A5"/>
      <w:sz w:val="14"/>
      <w:szCs w:val="14"/>
    </w:rPr>
  </w:style>
  <w:style w:type="paragraph" w:customStyle="1" w:styleId="ber1">
    <w:name w:val="Über 1"/>
    <w:basedOn w:val="Standard"/>
    <w:link w:val="ber1Zchn"/>
    <w:autoRedefine/>
    <w:rsid w:val="00D73A66"/>
    <w:rPr>
      <w:b/>
      <w:color w:val="840265" w:themeColor="accent5"/>
      <w:sz w:val="24"/>
      <w:u w:val="single"/>
    </w:rPr>
  </w:style>
  <w:style w:type="paragraph" w:customStyle="1" w:styleId="ber2">
    <w:name w:val="Über 2"/>
    <w:basedOn w:val="Standard"/>
    <w:link w:val="ber2Zchn"/>
    <w:autoRedefine/>
    <w:qFormat/>
    <w:rsid w:val="00AD7684"/>
    <w:rPr>
      <w:b/>
      <w:color w:val="840265" w:themeColor="accent5"/>
    </w:rPr>
  </w:style>
  <w:style w:type="character" w:customStyle="1" w:styleId="ber1Zchn">
    <w:name w:val="Über 1 Zchn"/>
    <w:basedOn w:val="Absatz-Standardschriftart"/>
    <w:link w:val="ber1"/>
    <w:rsid w:val="00D73A66"/>
    <w:rPr>
      <w:rFonts w:ascii="Arial" w:hAnsi="Arial" w:cs="Arial"/>
      <w:b/>
      <w:color w:val="840265" w:themeColor="accent5"/>
      <w:sz w:val="24"/>
      <w:u w:val="single"/>
    </w:rPr>
  </w:style>
  <w:style w:type="character" w:styleId="Platzhaltertext">
    <w:name w:val="Placeholder Text"/>
    <w:basedOn w:val="Absatz-Standardschriftart"/>
    <w:uiPriority w:val="99"/>
    <w:semiHidden/>
    <w:rsid w:val="00A16ED6"/>
    <w:rPr>
      <w:color w:val="808080"/>
    </w:rPr>
  </w:style>
  <w:style w:type="character" w:customStyle="1" w:styleId="ber2Zchn">
    <w:name w:val="Über 2 Zchn"/>
    <w:basedOn w:val="Absatz-Standardschriftart"/>
    <w:link w:val="ber2"/>
    <w:rsid w:val="00AD7684"/>
    <w:rPr>
      <w:rFonts w:ascii="Arial" w:hAnsi="Arial" w:cs="Arial"/>
      <w:b/>
      <w:color w:val="840265" w:themeColor="accent5"/>
      <w:sz w:val="18"/>
    </w:rPr>
  </w:style>
  <w:style w:type="character" w:styleId="Hyperlink">
    <w:name w:val="Hyperlink"/>
    <w:basedOn w:val="Absatz-Standardschriftart"/>
    <w:uiPriority w:val="99"/>
    <w:unhideWhenUsed/>
    <w:rsid w:val="005C43B7"/>
  </w:style>
  <w:style w:type="paragraph" w:styleId="Verzeichnis1">
    <w:name w:val="toc 1"/>
    <w:basedOn w:val="Standard"/>
    <w:next w:val="Standard"/>
    <w:autoRedefine/>
    <w:uiPriority w:val="39"/>
    <w:unhideWhenUsed/>
    <w:rsid w:val="004A0388"/>
    <w:pPr>
      <w:tabs>
        <w:tab w:val="left" w:pos="440"/>
        <w:tab w:val="right" w:leader="dot" w:pos="8931"/>
      </w:tabs>
      <w:spacing w:before="120" w:after="120" w:line="240" w:lineRule="auto"/>
      <w:jc w:val="left"/>
    </w:pPr>
    <w:rPr>
      <w:b/>
      <w:bCs/>
      <w:noProof/>
      <w:lang w:val="de-DE"/>
    </w:rPr>
  </w:style>
  <w:style w:type="paragraph" w:styleId="Verzeichnis2">
    <w:name w:val="toc 2"/>
    <w:basedOn w:val="Standard"/>
    <w:next w:val="Standard"/>
    <w:uiPriority w:val="39"/>
    <w:unhideWhenUsed/>
    <w:rsid w:val="00AF218A"/>
    <w:pPr>
      <w:spacing w:after="100"/>
    </w:pPr>
    <w:rPr>
      <w:noProof/>
    </w:rPr>
  </w:style>
  <w:style w:type="paragraph" w:styleId="Verzeichnis3">
    <w:name w:val="toc 3"/>
    <w:basedOn w:val="Standard"/>
    <w:next w:val="Standard"/>
    <w:autoRedefine/>
    <w:uiPriority w:val="39"/>
    <w:unhideWhenUsed/>
    <w:rsid w:val="00E02973"/>
    <w:pPr>
      <w:spacing w:after="100" w:line="259" w:lineRule="auto"/>
      <w:ind w:left="440"/>
    </w:pPr>
    <w:rPr>
      <w:rFonts w:cs="Times New Roman"/>
      <w:color w:val="7D9AA8" w:themeColor="text1" w:themeTint="99"/>
      <w:szCs w:val="22"/>
      <w:lang w:eastAsia="de-DE"/>
    </w:rPr>
  </w:style>
  <w:style w:type="paragraph" w:customStyle="1" w:styleId="Auszug">
    <w:name w:val="Auszug"/>
    <w:link w:val="AuszugZchn"/>
    <w:autoRedefine/>
    <w:uiPriority w:val="10"/>
    <w:qFormat/>
    <w:rsid w:val="004370B4"/>
    <w:pPr>
      <w:numPr>
        <w:numId w:val="2"/>
      </w:numPr>
      <w:spacing w:after="140" w:line="276" w:lineRule="auto"/>
    </w:pPr>
    <w:rPr>
      <w:rFonts w:ascii="Times New Roman" w:eastAsiaTheme="majorEastAsia" w:hAnsi="Times New Roman" w:cstheme="majorBidi"/>
      <w:color w:val="C5EDFF" w:themeColor="text2" w:themeTint="33"/>
      <w:spacing w:val="5"/>
      <w:sz w:val="32"/>
      <w:szCs w:val="28"/>
    </w:rPr>
  </w:style>
  <w:style w:type="character" w:customStyle="1" w:styleId="AuszugZchn">
    <w:name w:val="Auszug Zchn"/>
    <w:basedOn w:val="Absatz-Standardschriftart"/>
    <w:link w:val="Auszug"/>
    <w:uiPriority w:val="10"/>
    <w:rsid w:val="004370B4"/>
    <w:rPr>
      <w:rFonts w:ascii="Times New Roman" w:eastAsiaTheme="majorEastAsia" w:hAnsi="Times New Roman" w:cstheme="majorBidi"/>
      <w:color w:val="C5EDFF" w:themeColor="text2" w:themeTint="33"/>
      <w:spacing w:val="5"/>
      <w:sz w:val="32"/>
      <w:szCs w:val="28"/>
    </w:rPr>
  </w:style>
  <w:style w:type="paragraph" w:styleId="Sprechblasentext">
    <w:name w:val="Balloon Text"/>
    <w:basedOn w:val="Standard"/>
    <w:link w:val="SprechblasentextZchn"/>
    <w:uiPriority w:val="99"/>
    <w:semiHidden/>
    <w:unhideWhenUsed/>
    <w:rsid w:val="00700540"/>
    <w:pPr>
      <w:spacing w:after="0" w:line="240" w:lineRule="auto"/>
    </w:pPr>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700540"/>
    <w:rPr>
      <w:rFonts w:ascii="Segoe UI" w:hAnsi="Segoe UI" w:cs="Segoe UI"/>
      <w:color w:val="7392A1" w:themeColor="text1" w:themeTint="A5"/>
      <w:sz w:val="18"/>
      <w:szCs w:val="18"/>
    </w:rPr>
  </w:style>
  <w:style w:type="table" w:styleId="MittlereListe2-Akzent1">
    <w:name w:val="Medium List 2 Accent 1"/>
    <w:basedOn w:val="NormaleTabelle"/>
    <w:uiPriority w:val="66"/>
    <w:rsid w:val="00FD0A6D"/>
    <w:pPr>
      <w:spacing w:after="0" w:line="240" w:lineRule="auto"/>
      <w:ind w:left="0"/>
    </w:pPr>
    <w:rPr>
      <w:rFonts w:asciiTheme="majorHAnsi" w:eastAsiaTheme="majorEastAsia" w:hAnsiTheme="majorHAnsi" w:cstheme="majorBidi"/>
      <w:color w:val="3C505A" w:themeColor="text1"/>
      <w:sz w:val="22"/>
      <w:szCs w:val="22"/>
      <w:lang w:eastAsia="de-DE"/>
    </w:rPr>
    <w:tblPr>
      <w:tblStyleRowBandSize w:val="1"/>
      <w:tblStyleColBandSize w:val="1"/>
      <w:tblBorders>
        <w:top w:val="single" w:sz="8" w:space="0" w:color="009EE0" w:themeColor="accent1"/>
        <w:left w:val="single" w:sz="8" w:space="0" w:color="009EE0" w:themeColor="accent1"/>
        <w:bottom w:val="single" w:sz="8" w:space="0" w:color="009EE0" w:themeColor="accent1"/>
        <w:right w:val="single" w:sz="8" w:space="0" w:color="009EE0" w:themeColor="accent1"/>
      </w:tblBorders>
    </w:tblPr>
    <w:tblStylePr w:type="firstRow">
      <w:rPr>
        <w:sz w:val="24"/>
        <w:szCs w:val="24"/>
      </w:rPr>
      <w:tblPr/>
      <w:tcPr>
        <w:tcBorders>
          <w:top w:val="nil"/>
          <w:left w:val="nil"/>
          <w:bottom w:val="single" w:sz="24" w:space="0" w:color="009EE0" w:themeColor="accent1"/>
          <w:right w:val="nil"/>
          <w:insideH w:val="nil"/>
          <w:insideV w:val="nil"/>
        </w:tcBorders>
        <w:shd w:val="clear" w:color="auto" w:fill="FFFFFF" w:themeFill="background1"/>
      </w:tcPr>
    </w:tblStylePr>
    <w:tblStylePr w:type="lastRow">
      <w:tblPr/>
      <w:tcPr>
        <w:tcBorders>
          <w:top w:val="single" w:sz="8" w:space="0" w:color="009EE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9EE0" w:themeColor="accent1"/>
          <w:insideH w:val="nil"/>
          <w:insideV w:val="nil"/>
        </w:tcBorders>
        <w:shd w:val="clear" w:color="auto" w:fill="FFFFFF" w:themeFill="background1"/>
      </w:tcPr>
    </w:tblStylePr>
    <w:tblStylePr w:type="lastCol">
      <w:tblPr/>
      <w:tcPr>
        <w:tcBorders>
          <w:top w:val="nil"/>
          <w:left w:val="single" w:sz="8" w:space="0" w:color="009EE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8E9FF" w:themeFill="accent1" w:themeFillTint="3F"/>
      </w:tcPr>
    </w:tblStylePr>
    <w:tblStylePr w:type="band1Horz">
      <w:tblPr/>
      <w:tcPr>
        <w:tcBorders>
          <w:top w:val="nil"/>
          <w:bottom w:val="nil"/>
          <w:insideH w:val="nil"/>
          <w:insideV w:val="nil"/>
        </w:tcBorders>
        <w:shd w:val="clear" w:color="auto" w:fill="B8E9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Gitternetztabelle4Akzent1">
    <w:name w:val="Grid Table 4 Accent 1"/>
    <w:basedOn w:val="NormaleTabelle"/>
    <w:uiPriority w:val="49"/>
    <w:rsid w:val="00FD0A6D"/>
    <w:pPr>
      <w:spacing w:after="0" w:line="240" w:lineRule="auto"/>
    </w:pPr>
    <w:tblPr>
      <w:tblStyleRowBandSize w:val="1"/>
      <w:tblStyleColBandSize w:val="1"/>
      <w:tblBorders>
        <w:top w:val="single" w:sz="4" w:space="0" w:color="53CBFF" w:themeColor="accent1" w:themeTint="99"/>
        <w:left w:val="single" w:sz="4" w:space="0" w:color="53CBFF" w:themeColor="accent1" w:themeTint="99"/>
        <w:bottom w:val="single" w:sz="4" w:space="0" w:color="53CBFF" w:themeColor="accent1" w:themeTint="99"/>
        <w:right w:val="single" w:sz="4" w:space="0" w:color="53CBFF" w:themeColor="accent1" w:themeTint="99"/>
        <w:insideH w:val="single" w:sz="4" w:space="0" w:color="53CBFF" w:themeColor="accent1" w:themeTint="99"/>
        <w:insideV w:val="single" w:sz="4" w:space="0" w:color="53CBFF" w:themeColor="accent1" w:themeTint="99"/>
      </w:tblBorders>
    </w:tblPr>
    <w:tblStylePr w:type="firstRow">
      <w:rPr>
        <w:b/>
        <w:bCs/>
        <w:color w:val="FFFFFF" w:themeColor="background1"/>
      </w:rPr>
      <w:tblPr/>
      <w:tcPr>
        <w:tcBorders>
          <w:top w:val="single" w:sz="4" w:space="0" w:color="009EE0" w:themeColor="accent1"/>
          <w:left w:val="single" w:sz="4" w:space="0" w:color="009EE0" w:themeColor="accent1"/>
          <w:bottom w:val="single" w:sz="4" w:space="0" w:color="009EE0" w:themeColor="accent1"/>
          <w:right w:val="single" w:sz="4" w:space="0" w:color="009EE0" w:themeColor="accent1"/>
          <w:insideH w:val="nil"/>
          <w:insideV w:val="nil"/>
        </w:tcBorders>
        <w:shd w:val="clear" w:color="auto" w:fill="009EE0" w:themeFill="accent1"/>
      </w:tcPr>
    </w:tblStylePr>
    <w:tblStylePr w:type="lastRow">
      <w:rPr>
        <w:b/>
        <w:bCs/>
      </w:rPr>
      <w:tblPr/>
      <w:tcPr>
        <w:tcBorders>
          <w:top w:val="double" w:sz="4" w:space="0" w:color="009EE0" w:themeColor="accent1"/>
        </w:tcBorders>
      </w:tcPr>
    </w:tblStylePr>
    <w:tblStylePr w:type="firstCol">
      <w:rPr>
        <w:b/>
        <w:bCs/>
      </w:rPr>
    </w:tblStylePr>
    <w:tblStylePr w:type="lastCol">
      <w:rPr>
        <w:b/>
        <w:bCs/>
      </w:rPr>
    </w:tblStylePr>
    <w:tblStylePr w:type="band1Vert">
      <w:tblPr/>
      <w:tcPr>
        <w:shd w:val="clear" w:color="auto" w:fill="C5EDFF" w:themeFill="accent1" w:themeFillTint="33"/>
      </w:tcPr>
    </w:tblStylePr>
    <w:tblStylePr w:type="band1Horz">
      <w:tblPr/>
      <w:tcPr>
        <w:shd w:val="clear" w:color="auto" w:fill="C5EDFF" w:themeFill="accent1" w:themeFillTint="33"/>
      </w:tcPr>
    </w:tblStylePr>
  </w:style>
  <w:style w:type="table" w:styleId="Listentabelle3Akzent1">
    <w:name w:val="List Table 3 Accent 1"/>
    <w:basedOn w:val="NormaleTabelle"/>
    <w:uiPriority w:val="48"/>
    <w:rsid w:val="00FD0A6D"/>
    <w:pPr>
      <w:spacing w:after="0" w:line="240" w:lineRule="auto"/>
    </w:pPr>
    <w:tblPr>
      <w:tblStyleRowBandSize w:val="1"/>
      <w:tblStyleColBandSize w:val="1"/>
      <w:tblBorders>
        <w:top w:val="single" w:sz="4" w:space="0" w:color="009EE0" w:themeColor="accent1"/>
        <w:left w:val="single" w:sz="4" w:space="0" w:color="009EE0" w:themeColor="accent1"/>
        <w:bottom w:val="single" w:sz="4" w:space="0" w:color="009EE0" w:themeColor="accent1"/>
        <w:right w:val="single" w:sz="4" w:space="0" w:color="009EE0" w:themeColor="accent1"/>
      </w:tblBorders>
    </w:tblPr>
    <w:tblStylePr w:type="firstRow">
      <w:rPr>
        <w:b/>
        <w:bCs/>
        <w:color w:val="FFFFFF" w:themeColor="background1"/>
      </w:rPr>
      <w:tblPr/>
      <w:tcPr>
        <w:shd w:val="clear" w:color="auto" w:fill="009EE0" w:themeFill="accent1"/>
      </w:tcPr>
    </w:tblStylePr>
    <w:tblStylePr w:type="lastRow">
      <w:rPr>
        <w:b/>
        <w:bCs/>
      </w:rPr>
      <w:tblPr/>
      <w:tcPr>
        <w:tcBorders>
          <w:top w:val="double" w:sz="4" w:space="0" w:color="009EE0"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9EE0" w:themeColor="accent1"/>
          <w:right w:val="single" w:sz="4" w:space="0" w:color="009EE0" w:themeColor="accent1"/>
        </w:tcBorders>
      </w:tcPr>
    </w:tblStylePr>
    <w:tblStylePr w:type="band1Horz">
      <w:tblPr/>
      <w:tcPr>
        <w:tcBorders>
          <w:top w:val="single" w:sz="4" w:space="0" w:color="009EE0" w:themeColor="accent1"/>
          <w:bottom w:val="single" w:sz="4" w:space="0" w:color="009EE0"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9EE0" w:themeColor="accent1"/>
          <w:left w:val="nil"/>
        </w:tcBorders>
      </w:tcPr>
    </w:tblStylePr>
    <w:tblStylePr w:type="swCell">
      <w:tblPr/>
      <w:tcPr>
        <w:tcBorders>
          <w:top w:val="double" w:sz="4" w:space="0" w:color="009EE0" w:themeColor="accent1"/>
          <w:right w:val="nil"/>
        </w:tcBorders>
      </w:tcPr>
    </w:tblStylePr>
  </w:style>
  <w:style w:type="table" w:customStyle="1" w:styleId="TabelleBDITabelle">
    <w:name w:val="Tabelle / BDI Tabelle"/>
    <w:basedOn w:val="NormaleTabelle"/>
    <w:uiPriority w:val="99"/>
    <w:rsid w:val="00173959"/>
    <w:pPr>
      <w:spacing w:after="0" w:line="240" w:lineRule="auto"/>
      <w:ind w:left="0"/>
    </w:pPr>
    <w:rPr>
      <w:rFonts w:ascii="Arial" w:hAnsi="Arial"/>
      <w:color w:val="3C505A" w:themeColor="text1"/>
      <w:sz w:val="16"/>
    </w:rPr>
    <w:tblPr>
      <w:tblBorders>
        <w:insideH w:val="single" w:sz="2" w:space="0" w:color="3C505A" w:themeColor="text1"/>
      </w:tblBorders>
    </w:tblPr>
    <w:tcPr>
      <w:vAlign w:val="center"/>
    </w:tcPr>
  </w:style>
  <w:style w:type="table" w:styleId="EinfacheTabelle2">
    <w:name w:val="Plain Table 2"/>
    <w:basedOn w:val="NormaleTabelle"/>
    <w:uiPriority w:val="42"/>
    <w:rsid w:val="00173959"/>
    <w:pPr>
      <w:spacing w:after="0" w:line="240" w:lineRule="auto"/>
    </w:pPr>
    <w:tblPr>
      <w:tblStyleRowBandSize w:val="1"/>
      <w:tblStyleColBandSize w:val="1"/>
      <w:tblBorders>
        <w:top w:val="single" w:sz="4" w:space="0" w:color="92AAB6" w:themeColor="text1" w:themeTint="80"/>
        <w:bottom w:val="single" w:sz="4" w:space="0" w:color="92AAB6" w:themeColor="text1" w:themeTint="80"/>
      </w:tblBorders>
    </w:tblPr>
    <w:tblStylePr w:type="firstRow">
      <w:rPr>
        <w:b/>
        <w:bCs/>
      </w:rPr>
      <w:tblPr/>
      <w:tcPr>
        <w:tcBorders>
          <w:bottom w:val="single" w:sz="4" w:space="0" w:color="92AAB6" w:themeColor="text1" w:themeTint="80"/>
        </w:tcBorders>
      </w:tcPr>
    </w:tblStylePr>
    <w:tblStylePr w:type="lastRow">
      <w:rPr>
        <w:b/>
        <w:bCs/>
      </w:rPr>
      <w:tblPr/>
      <w:tcPr>
        <w:tcBorders>
          <w:top w:val="single" w:sz="4" w:space="0" w:color="92AAB6" w:themeColor="text1" w:themeTint="80"/>
        </w:tcBorders>
      </w:tcPr>
    </w:tblStylePr>
    <w:tblStylePr w:type="firstCol">
      <w:rPr>
        <w:b/>
        <w:bCs/>
      </w:rPr>
    </w:tblStylePr>
    <w:tblStylePr w:type="lastCol">
      <w:rPr>
        <w:b/>
        <w:bCs/>
      </w:rPr>
    </w:tblStylePr>
    <w:tblStylePr w:type="band1Vert">
      <w:tblPr/>
      <w:tcPr>
        <w:tcBorders>
          <w:left w:val="single" w:sz="4" w:space="0" w:color="92AAB6" w:themeColor="text1" w:themeTint="80"/>
          <w:right w:val="single" w:sz="4" w:space="0" w:color="92AAB6" w:themeColor="text1" w:themeTint="80"/>
        </w:tcBorders>
      </w:tcPr>
    </w:tblStylePr>
    <w:tblStylePr w:type="band2Vert">
      <w:tblPr/>
      <w:tcPr>
        <w:tcBorders>
          <w:left w:val="single" w:sz="4" w:space="0" w:color="92AAB6" w:themeColor="text1" w:themeTint="80"/>
          <w:right w:val="single" w:sz="4" w:space="0" w:color="92AAB6" w:themeColor="text1" w:themeTint="80"/>
        </w:tcBorders>
      </w:tcPr>
    </w:tblStylePr>
    <w:tblStylePr w:type="band1Horz">
      <w:tblPr/>
      <w:tcPr>
        <w:tcBorders>
          <w:top w:val="single" w:sz="4" w:space="0" w:color="92AAB6" w:themeColor="text1" w:themeTint="80"/>
          <w:bottom w:val="single" w:sz="4" w:space="0" w:color="92AAB6" w:themeColor="text1" w:themeTint="80"/>
        </w:tcBorders>
      </w:tcPr>
    </w:tblStylePr>
  </w:style>
  <w:style w:type="table" w:customStyle="1" w:styleId="TabelleText">
    <w:name w:val="Tabelle Text"/>
    <w:basedOn w:val="TabelleBDITabelle"/>
    <w:uiPriority w:val="99"/>
    <w:rsid w:val="007A6E3C"/>
    <w:pPr>
      <w:jc w:val="center"/>
    </w:pPr>
    <w:tblPr>
      <w:tblBorders>
        <w:insideH w:val="single" w:sz="4" w:space="0" w:color="3C505A" w:themeColor="text1"/>
      </w:tblBorders>
    </w:tblPr>
    <w:tcPr>
      <w:shd w:val="clear" w:color="auto" w:fill="auto"/>
    </w:tcPr>
    <w:tblStylePr w:type="firstRow">
      <w:pPr>
        <w:jc w:val="center"/>
      </w:pPr>
      <w:rPr>
        <w:rFonts w:ascii="Arial" w:hAnsi="Arial"/>
        <w:b/>
        <w:i w:val="0"/>
        <w:color w:val="FFFFFF" w:themeColor="background1"/>
        <w:sz w:val="18"/>
      </w:rPr>
      <w:tblPr/>
      <w:tcPr>
        <w:tcBorders>
          <w:insideV w:val="nil"/>
        </w:tcBorders>
        <w:shd w:val="clear" w:color="auto" w:fill="009EE0" w:themeFill="text2"/>
      </w:tcPr>
    </w:tblStylePr>
  </w:style>
  <w:style w:type="table" w:styleId="Tabellenraster">
    <w:name w:val="Table Grid"/>
    <w:basedOn w:val="NormaleTabelle"/>
    <w:rsid w:val="002A2B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BDIBreit">
    <w:name w:val="Tabelle BDI Breit"/>
    <w:basedOn w:val="NormaleTabelle"/>
    <w:uiPriority w:val="99"/>
    <w:rsid w:val="00AF4740"/>
    <w:pPr>
      <w:spacing w:after="0" w:line="240" w:lineRule="auto"/>
      <w:ind w:left="0"/>
    </w:pPr>
    <w:tblPr/>
  </w:style>
  <w:style w:type="character" w:styleId="Zeilennummer">
    <w:name w:val="line number"/>
    <w:basedOn w:val="Absatz-Standardschriftart"/>
    <w:uiPriority w:val="99"/>
    <w:unhideWhenUsed/>
    <w:rsid w:val="00CC1CCF"/>
  </w:style>
  <w:style w:type="paragraph" w:customStyle="1" w:styleId="AuszugDunkel">
    <w:name w:val="Auszug Dunkel"/>
    <w:basedOn w:val="Auszug"/>
    <w:qFormat/>
    <w:rsid w:val="00C7575F"/>
    <w:pPr>
      <w:spacing w:after="280"/>
      <w:ind w:left="357" w:hanging="357"/>
    </w:pPr>
    <w:rPr>
      <w:rFonts w:ascii="Arial" w:hAnsi="Arial"/>
      <w:color w:val="3C505A" w:themeColor="text1"/>
      <w:spacing w:val="0"/>
      <w:sz w:val="24"/>
    </w:rPr>
  </w:style>
  <w:style w:type="paragraph" w:styleId="Nachrichtenkopf">
    <w:name w:val="Message Header"/>
    <w:basedOn w:val="Standard"/>
    <w:link w:val="NachrichtenkopfZchn"/>
    <w:uiPriority w:val="99"/>
    <w:semiHidden/>
    <w:unhideWhenUsed/>
    <w:rsid w:val="00D5395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theme="majorBidi"/>
      <w:color w:val="7D9AA8" w:themeColor="text1" w:themeTint="99"/>
      <w:sz w:val="24"/>
    </w:rPr>
  </w:style>
  <w:style w:type="character" w:customStyle="1" w:styleId="NachrichtenkopfZchn">
    <w:name w:val="Nachrichtenkopf Zchn"/>
    <w:basedOn w:val="Absatz-Standardschriftart"/>
    <w:link w:val="Nachrichtenkopf"/>
    <w:uiPriority w:val="99"/>
    <w:semiHidden/>
    <w:rsid w:val="00D5395E"/>
    <w:rPr>
      <w:rFonts w:ascii="Arial" w:eastAsiaTheme="majorEastAsia" w:hAnsi="Arial" w:cstheme="majorBidi"/>
      <w:color w:val="7D9AA8" w:themeColor="text1" w:themeTint="99"/>
      <w:sz w:val="24"/>
      <w:szCs w:val="24"/>
      <w:shd w:val="pct20" w:color="auto" w:fill="auto"/>
    </w:rPr>
  </w:style>
  <w:style w:type="paragraph" w:customStyle="1" w:styleId="Default">
    <w:name w:val="Default"/>
    <w:rsid w:val="00C60025"/>
    <w:pPr>
      <w:autoSpaceDE w:val="0"/>
      <w:autoSpaceDN w:val="0"/>
      <w:adjustRightInd w:val="0"/>
      <w:spacing w:after="0" w:line="240" w:lineRule="auto"/>
      <w:ind w:left="0"/>
    </w:pPr>
    <w:rPr>
      <w:rFonts w:ascii="Times New Roman" w:hAnsi="Times New Roman" w:cs="Times New Roman"/>
      <w:color w:val="000000"/>
      <w:sz w:val="24"/>
      <w:szCs w:val="24"/>
    </w:rPr>
  </w:style>
  <w:style w:type="paragraph" w:customStyle="1" w:styleId="TabelleTitel">
    <w:name w:val="Tabelle Titel"/>
    <w:link w:val="TabelleTitelZchn"/>
    <w:autoRedefine/>
    <w:qFormat/>
    <w:rsid w:val="00B55B72"/>
    <w:pPr>
      <w:spacing w:after="0" w:line="240" w:lineRule="auto"/>
      <w:ind w:left="57"/>
    </w:pPr>
    <w:rPr>
      <w:rFonts w:ascii="Arial" w:hAnsi="Arial"/>
      <w:color w:val="FFFFFF" w:themeColor="background1"/>
      <w:sz w:val="18"/>
    </w:rPr>
  </w:style>
  <w:style w:type="character" w:customStyle="1" w:styleId="TabelleTitelZchn">
    <w:name w:val="Tabelle Titel Zchn"/>
    <w:basedOn w:val="Absatz-Standardschriftart"/>
    <w:link w:val="TabelleTitel"/>
    <w:rsid w:val="00B55B72"/>
    <w:rPr>
      <w:rFonts w:ascii="Arial" w:hAnsi="Arial"/>
      <w:color w:val="FFFFFF" w:themeColor="background1"/>
      <w:sz w:val="18"/>
    </w:rPr>
  </w:style>
  <w:style w:type="paragraph" w:customStyle="1" w:styleId="Standardweiss">
    <w:name w:val="Standard weiss"/>
    <w:basedOn w:val="Standard"/>
    <w:qFormat/>
    <w:rsid w:val="00F86288"/>
    <w:pPr>
      <w:framePr w:hSpace="141" w:wrap="around" w:vAnchor="page" w:hAnchor="margin" w:y="10478"/>
      <w:spacing w:after="0"/>
    </w:pPr>
    <w:rPr>
      <w:b/>
      <w:color w:val="FFFFFF" w:themeColor="background1"/>
    </w:rPr>
  </w:style>
  <w:style w:type="paragraph" w:styleId="StandardWeb">
    <w:name w:val="Normal (Web)"/>
    <w:basedOn w:val="Standard"/>
    <w:uiPriority w:val="99"/>
    <w:semiHidden/>
    <w:unhideWhenUsed/>
    <w:rsid w:val="00D42666"/>
    <w:pPr>
      <w:spacing w:before="100" w:beforeAutospacing="1" w:after="100" w:afterAutospacing="1" w:line="240" w:lineRule="auto"/>
    </w:pPr>
    <w:rPr>
      <w:rFonts w:ascii="Times New Roman" w:hAnsi="Times New Roman" w:cs="Times New Roman"/>
      <w:color w:val="auto"/>
      <w:sz w:val="24"/>
      <w:lang w:eastAsia="de-DE"/>
    </w:rPr>
  </w:style>
  <w:style w:type="paragraph" w:styleId="Aufzhlungszeichen">
    <w:name w:val="List Bullet"/>
    <w:basedOn w:val="Standard"/>
    <w:uiPriority w:val="99"/>
    <w:unhideWhenUsed/>
    <w:rsid w:val="00B55B72"/>
    <w:pPr>
      <w:numPr>
        <w:numId w:val="1"/>
      </w:numPr>
      <w:contextualSpacing/>
    </w:pPr>
  </w:style>
  <w:style w:type="character" w:styleId="BesuchterLink">
    <w:name w:val="FollowedHyperlink"/>
    <w:basedOn w:val="Absatz-Standardschriftart"/>
    <w:uiPriority w:val="99"/>
    <w:semiHidden/>
    <w:unhideWhenUsed/>
    <w:rsid w:val="000B3505"/>
    <w:rPr>
      <w:color w:val="8A969C" w:themeColor="followedHyperlink"/>
      <w:u w:val="single"/>
    </w:rPr>
  </w:style>
  <w:style w:type="paragraph" w:styleId="Verzeichnis5">
    <w:name w:val="toc 5"/>
    <w:basedOn w:val="Standard"/>
    <w:next w:val="Standard"/>
    <w:autoRedefine/>
    <w:uiPriority w:val="39"/>
    <w:unhideWhenUsed/>
    <w:rsid w:val="00C60BB2"/>
    <w:pPr>
      <w:ind w:left="800"/>
    </w:pPr>
  </w:style>
  <w:style w:type="paragraph" w:styleId="Verzeichnis4">
    <w:name w:val="toc 4"/>
    <w:basedOn w:val="Standard"/>
    <w:next w:val="Standard"/>
    <w:autoRedefine/>
    <w:uiPriority w:val="39"/>
    <w:unhideWhenUsed/>
    <w:rsid w:val="00C60BB2"/>
    <w:pPr>
      <w:spacing w:after="100"/>
      <w:ind w:left="600"/>
    </w:pPr>
  </w:style>
  <w:style w:type="paragraph" w:styleId="Verzeichnis6">
    <w:name w:val="toc 6"/>
    <w:basedOn w:val="Standard"/>
    <w:next w:val="Standard"/>
    <w:autoRedefine/>
    <w:uiPriority w:val="39"/>
    <w:unhideWhenUsed/>
    <w:rsid w:val="00C60BB2"/>
    <w:pPr>
      <w:ind w:left="1000"/>
    </w:pPr>
  </w:style>
  <w:style w:type="paragraph" w:styleId="Verzeichnis7">
    <w:name w:val="toc 7"/>
    <w:basedOn w:val="Standard"/>
    <w:next w:val="Standard"/>
    <w:autoRedefine/>
    <w:uiPriority w:val="39"/>
    <w:unhideWhenUsed/>
    <w:rsid w:val="00C60BB2"/>
    <w:pPr>
      <w:ind w:left="1200"/>
    </w:pPr>
  </w:style>
  <w:style w:type="paragraph" w:styleId="Verzeichnis8">
    <w:name w:val="toc 8"/>
    <w:basedOn w:val="Standard"/>
    <w:next w:val="Standard"/>
    <w:autoRedefine/>
    <w:uiPriority w:val="39"/>
    <w:unhideWhenUsed/>
    <w:rsid w:val="00C60BB2"/>
    <w:pPr>
      <w:ind w:left="1400"/>
    </w:pPr>
  </w:style>
  <w:style w:type="paragraph" w:styleId="Verzeichnis9">
    <w:name w:val="toc 9"/>
    <w:basedOn w:val="Standard"/>
    <w:next w:val="Standard"/>
    <w:autoRedefine/>
    <w:uiPriority w:val="39"/>
    <w:unhideWhenUsed/>
    <w:rsid w:val="00C60BB2"/>
    <w:pPr>
      <w:ind w:left="1600"/>
    </w:pPr>
  </w:style>
  <w:style w:type="paragraph" w:customStyle="1" w:styleId="Cover1">
    <w:name w:val="Cover 1"/>
    <w:basedOn w:val="berschrift1"/>
    <w:qFormat/>
    <w:rsid w:val="00420D63"/>
  </w:style>
  <w:style w:type="paragraph" w:customStyle="1" w:styleId="Cover2">
    <w:name w:val="Cover 2"/>
    <w:basedOn w:val="berschrift2"/>
    <w:qFormat/>
    <w:rsid w:val="00420D63"/>
  </w:style>
  <w:style w:type="paragraph" w:customStyle="1" w:styleId="Kategorie">
    <w:name w:val="Kategorie"/>
    <w:basedOn w:val="Standard"/>
    <w:link w:val="KategorieZchn"/>
    <w:qFormat/>
    <w:rsid w:val="00D136FF"/>
    <w:pPr>
      <w:pBdr>
        <w:bottom w:val="single" w:sz="8" w:space="1" w:color="FFFFFF" w:themeColor="background1"/>
      </w:pBdr>
      <w:ind w:right="186"/>
    </w:pPr>
    <w:rPr>
      <w:rFonts w:cs="Times New Roman (Textkörper CS)"/>
      <w:b/>
      <w:caps/>
      <w:color w:val="FFFFFF" w:themeColor="background1"/>
      <w:sz w:val="28"/>
      <w:szCs w:val="28"/>
    </w:rPr>
  </w:style>
  <w:style w:type="character" w:customStyle="1" w:styleId="KategorieZchn">
    <w:name w:val="Kategorie Zchn"/>
    <w:basedOn w:val="Absatz-Standardschriftart"/>
    <w:link w:val="Kategorie"/>
    <w:rsid w:val="00D136FF"/>
    <w:rPr>
      <w:rFonts w:ascii="Arial" w:hAnsi="Arial" w:cs="Times New Roman (Textkörper CS)"/>
      <w:b/>
      <w:caps/>
      <w:color w:val="FFFFFF" w:themeColor="background1"/>
      <w:sz w:val="28"/>
      <w:szCs w:val="28"/>
    </w:rPr>
  </w:style>
  <w:style w:type="paragraph" w:customStyle="1" w:styleId="StandardLinksAusrichtung">
    <w:name w:val="Standard Links Ausrichtung"/>
    <w:basedOn w:val="Standard"/>
    <w:qFormat/>
    <w:rsid w:val="00AB1318"/>
    <w:pPr>
      <w:jc w:val="left"/>
    </w:pPr>
    <w:rPr>
      <w:lang w:val="de-DE"/>
    </w:rPr>
  </w:style>
  <w:style w:type="character" w:styleId="NichtaufgelsteErwhnung">
    <w:name w:val="Unresolved Mention"/>
    <w:basedOn w:val="Absatz-Standardschriftart"/>
    <w:uiPriority w:val="99"/>
    <w:semiHidden/>
    <w:unhideWhenUsed/>
    <w:rsid w:val="00C576C1"/>
    <w:rPr>
      <w:color w:val="605E5C"/>
      <w:shd w:val="clear" w:color="auto" w:fill="E1DFDD"/>
    </w:rPr>
  </w:style>
  <w:style w:type="paragraph" w:styleId="Funotentext">
    <w:name w:val="footnote text"/>
    <w:basedOn w:val="Standard"/>
    <w:link w:val="FunotentextZchn"/>
    <w:uiPriority w:val="99"/>
    <w:semiHidden/>
    <w:unhideWhenUsed/>
    <w:rsid w:val="00F52260"/>
    <w:pPr>
      <w:spacing w:after="0" w:line="240" w:lineRule="auto"/>
    </w:pPr>
    <w:rPr>
      <w:szCs w:val="20"/>
    </w:rPr>
  </w:style>
  <w:style w:type="character" w:customStyle="1" w:styleId="FunotentextZchn">
    <w:name w:val="Fußnotentext Zchn"/>
    <w:basedOn w:val="Absatz-Standardschriftart"/>
    <w:link w:val="Funotentext"/>
    <w:uiPriority w:val="99"/>
    <w:semiHidden/>
    <w:rsid w:val="00F52260"/>
    <w:rPr>
      <w:rFonts w:ascii="Arial" w:hAnsi="Arial" w:cs="Arial"/>
      <w:color w:val="3C505A" w:themeColor="text1"/>
      <w:lang w:val="en-GB"/>
    </w:rPr>
  </w:style>
  <w:style w:type="character" w:styleId="Funotenzeichen">
    <w:name w:val="footnote reference"/>
    <w:basedOn w:val="Absatz-Standardschriftart"/>
    <w:uiPriority w:val="99"/>
    <w:semiHidden/>
    <w:unhideWhenUsed/>
    <w:rsid w:val="00F52260"/>
    <w:rPr>
      <w:vertAlign w:val="superscript"/>
    </w:rPr>
  </w:style>
  <w:style w:type="character" w:styleId="Kommentarzeichen">
    <w:name w:val="annotation reference"/>
    <w:basedOn w:val="Absatz-Standardschriftart"/>
    <w:uiPriority w:val="99"/>
    <w:semiHidden/>
    <w:unhideWhenUsed/>
    <w:rsid w:val="00075CA1"/>
    <w:rPr>
      <w:sz w:val="16"/>
      <w:szCs w:val="16"/>
    </w:rPr>
  </w:style>
  <w:style w:type="paragraph" w:styleId="Kommentartext">
    <w:name w:val="annotation text"/>
    <w:basedOn w:val="Standard"/>
    <w:link w:val="KommentartextZchn"/>
    <w:uiPriority w:val="99"/>
    <w:unhideWhenUsed/>
    <w:rsid w:val="00075CA1"/>
    <w:pPr>
      <w:spacing w:line="240" w:lineRule="auto"/>
    </w:pPr>
    <w:rPr>
      <w:szCs w:val="20"/>
    </w:rPr>
  </w:style>
  <w:style w:type="character" w:customStyle="1" w:styleId="KommentartextZchn">
    <w:name w:val="Kommentartext Zchn"/>
    <w:basedOn w:val="Absatz-Standardschriftart"/>
    <w:link w:val="Kommentartext"/>
    <w:uiPriority w:val="99"/>
    <w:rsid w:val="00075CA1"/>
    <w:rPr>
      <w:rFonts w:ascii="Arial" w:hAnsi="Arial" w:cs="Arial"/>
      <w:color w:val="3C505A" w:themeColor="text1"/>
      <w:lang w:val="en-GB"/>
    </w:rPr>
  </w:style>
  <w:style w:type="paragraph" w:styleId="Kommentarthema">
    <w:name w:val="annotation subject"/>
    <w:basedOn w:val="Kommentartext"/>
    <w:next w:val="Kommentartext"/>
    <w:link w:val="KommentarthemaZchn"/>
    <w:uiPriority w:val="99"/>
    <w:semiHidden/>
    <w:unhideWhenUsed/>
    <w:rsid w:val="00075CA1"/>
    <w:rPr>
      <w:b/>
      <w:bCs/>
    </w:rPr>
  </w:style>
  <w:style w:type="character" w:customStyle="1" w:styleId="KommentarthemaZchn">
    <w:name w:val="Kommentarthema Zchn"/>
    <w:basedOn w:val="KommentartextZchn"/>
    <w:link w:val="Kommentarthema"/>
    <w:uiPriority w:val="99"/>
    <w:semiHidden/>
    <w:rsid w:val="00075CA1"/>
    <w:rPr>
      <w:rFonts w:ascii="Arial" w:hAnsi="Arial" w:cs="Arial"/>
      <w:b/>
      <w:bCs/>
      <w:color w:val="3C505A" w:themeColor="text1"/>
      <w:lang w:val="en-GB"/>
    </w:rPr>
  </w:style>
  <w:style w:type="paragraph" w:styleId="berarbeitung">
    <w:name w:val="Revision"/>
    <w:hidden/>
    <w:uiPriority w:val="99"/>
    <w:semiHidden/>
    <w:rsid w:val="003E4AF4"/>
    <w:pPr>
      <w:spacing w:after="0" w:line="240" w:lineRule="auto"/>
      <w:ind w:left="0"/>
    </w:pPr>
    <w:rPr>
      <w:rFonts w:ascii="Arial" w:hAnsi="Arial" w:cs="Arial"/>
      <w:color w:val="3C505A" w:themeColor="text1"/>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25214">
      <w:bodyDiv w:val="1"/>
      <w:marLeft w:val="0"/>
      <w:marRight w:val="0"/>
      <w:marTop w:val="0"/>
      <w:marBottom w:val="0"/>
      <w:divBdr>
        <w:top w:val="none" w:sz="0" w:space="0" w:color="auto"/>
        <w:left w:val="none" w:sz="0" w:space="0" w:color="auto"/>
        <w:bottom w:val="none" w:sz="0" w:space="0" w:color="auto"/>
        <w:right w:val="none" w:sz="0" w:space="0" w:color="auto"/>
      </w:divBdr>
    </w:div>
    <w:div w:id="15348728">
      <w:bodyDiv w:val="1"/>
      <w:marLeft w:val="0"/>
      <w:marRight w:val="0"/>
      <w:marTop w:val="0"/>
      <w:marBottom w:val="0"/>
      <w:divBdr>
        <w:top w:val="none" w:sz="0" w:space="0" w:color="auto"/>
        <w:left w:val="none" w:sz="0" w:space="0" w:color="auto"/>
        <w:bottom w:val="none" w:sz="0" w:space="0" w:color="auto"/>
        <w:right w:val="none" w:sz="0" w:space="0" w:color="auto"/>
      </w:divBdr>
    </w:div>
    <w:div w:id="26030514">
      <w:bodyDiv w:val="1"/>
      <w:marLeft w:val="0"/>
      <w:marRight w:val="0"/>
      <w:marTop w:val="0"/>
      <w:marBottom w:val="0"/>
      <w:divBdr>
        <w:top w:val="none" w:sz="0" w:space="0" w:color="auto"/>
        <w:left w:val="none" w:sz="0" w:space="0" w:color="auto"/>
        <w:bottom w:val="none" w:sz="0" w:space="0" w:color="auto"/>
        <w:right w:val="none" w:sz="0" w:space="0" w:color="auto"/>
      </w:divBdr>
    </w:div>
    <w:div w:id="43678126">
      <w:bodyDiv w:val="1"/>
      <w:marLeft w:val="0"/>
      <w:marRight w:val="0"/>
      <w:marTop w:val="0"/>
      <w:marBottom w:val="0"/>
      <w:divBdr>
        <w:top w:val="none" w:sz="0" w:space="0" w:color="auto"/>
        <w:left w:val="none" w:sz="0" w:space="0" w:color="auto"/>
        <w:bottom w:val="none" w:sz="0" w:space="0" w:color="auto"/>
        <w:right w:val="none" w:sz="0" w:space="0" w:color="auto"/>
      </w:divBdr>
    </w:div>
    <w:div w:id="45884528">
      <w:bodyDiv w:val="1"/>
      <w:marLeft w:val="0"/>
      <w:marRight w:val="0"/>
      <w:marTop w:val="0"/>
      <w:marBottom w:val="0"/>
      <w:divBdr>
        <w:top w:val="none" w:sz="0" w:space="0" w:color="auto"/>
        <w:left w:val="none" w:sz="0" w:space="0" w:color="auto"/>
        <w:bottom w:val="none" w:sz="0" w:space="0" w:color="auto"/>
        <w:right w:val="none" w:sz="0" w:space="0" w:color="auto"/>
      </w:divBdr>
    </w:div>
    <w:div w:id="210190449">
      <w:bodyDiv w:val="1"/>
      <w:marLeft w:val="0"/>
      <w:marRight w:val="0"/>
      <w:marTop w:val="0"/>
      <w:marBottom w:val="0"/>
      <w:divBdr>
        <w:top w:val="none" w:sz="0" w:space="0" w:color="auto"/>
        <w:left w:val="none" w:sz="0" w:space="0" w:color="auto"/>
        <w:bottom w:val="none" w:sz="0" w:space="0" w:color="auto"/>
        <w:right w:val="none" w:sz="0" w:space="0" w:color="auto"/>
      </w:divBdr>
    </w:div>
    <w:div w:id="265622604">
      <w:bodyDiv w:val="1"/>
      <w:marLeft w:val="0"/>
      <w:marRight w:val="0"/>
      <w:marTop w:val="0"/>
      <w:marBottom w:val="0"/>
      <w:divBdr>
        <w:top w:val="none" w:sz="0" w:space="0" w:color="auto"/>
        <w:left w:val="none" w:sz="0" w:space="0" w:color="auto"/>
        <w:bottom w:val="none" w:sz="0" w:space="0" w:color="auto"/>
        <w:right w:val="none" w:sz="0" w:space="0" w:color="auto"/>
      </w:divBdr>
    </w:div>
    <w:div w:id="313604236">
      <w:bodyDiv w:val="1"/>
      <w:marLeft w:val="0"/>
      <w:marRight w:val="0"/>
      <w:marTop w:val="0"/>
      <w:marBottom w:val="0"/>
      <w:divBdr>
        <w:top w:val="none" w:sz="0" w:space="0" w:color="auto"/>
        <w:left w:val="none" w:sz="0" w:space="0" w:color="auto"/>
        <w:bottom w:val="none" w:sz="0" w:space="0" w:color="auto"/>
        <w:right w:val="none" w:sz="0" w:space="0" w:color="auto"/>
      </w:divBdr>
    </w:div>
    <w:div w:id="394932945">
      <w:bodyDiv w:val="1"/>
      <w:marLeft w:val="0"/>
      <w:marRight w:val="0"/>
      <w:marTop w:val="0"/>
      <w:marBottom w:val="0"/>
      <w:divBdr>
        <w:top w:val="none" w:sz="0" w:space="0" w:color="auto"/>
        <w:left w:val="none" w:sz="0" w:space="0" w:color="auto"/>
        <w:bottom w:val="none" w:sz="0" w:space="0" w:color="auto"/>
        <w:right w:val="none" w:sz="0" w:space="0" w:color="auto"/>
      </w:divBdr>
    </w:div>
    <w:div w:id="411051637">
      <w:bodyDiv w:val="1"/>
      <w:marLeft w:val="0"/>
      <w:marRight w:val="0"/>
      <w:marTop w:val="0"/>
      <w:marBottom w:val="0"/>
      <w:divBdr>
        <w:top w:val="none" w:sz="0" w:space="0" w:color="auto"/>
        <w:left w:val="none" w:sz="0" w:space="0" w:color="auto"/>
        <w:bottom w:val="none" w:sz="0" w:space="0" w:color="auto"/>
        <w:right w:val="none" w:sz="0" w:space="0" w:color="auto"/>
      </w:divBdr>
    </w:div>
    <w:div w:id="430660350">
      <w:bodyDiv w:val="1"/>
      <w:marLeft w:val="0"/>
      <w:marRight w:val="0"/>
      <w:marTop w:val="0"/>
      <w:marBottom w:val="0"/>
      <w:divBdr>
        <w:top w:val="none" w:sz="0" w:space="0" w:color="auto"/>
        <w:left w:val="none" w:sz="0" w:space="0" w:color="auto"/>
        <w:bottom w:val="none" w:sz="0" w:space="0" w:color="auto"/>
        <w:right w:val="none" w:sz="0" w:space="0" w:color="auto"/>
      </w:divBdr>
    </w:div>
    <w:div w:id="437798092">
      <w:bodyDiv w:val="1"/>
      <w:marLeft w:val="0"/>
      <w:marRight w:val="0"/>
      <w:marTop w:val="0"/>
      <w:marBottom w:val="0"/>
      <w:divBdr>
        <w:top w:val="none" w:sz="0" w:space="0" w:color="auto"/>
        <w:left w:val="none" w:sz="0" w:space="0" w:color="auto"/>
        <w:bottom w:val="none" w:sz="0" w:space="0" w:color="auto"/>
        <w:right w:val="none" w:sz="0" w:space="0" w:color="auto"/>
      </w:divBdr>
    </w:div>
    <w:div w:id="446046786">
      <w:bodyDiv w:val="1"/>
      <w:marLeft w:val="0"/>
      <w:marRight w:val="0"/>
      <w:marTop w:val="0"/>
      <w:marBottom w:val="0"/>
      <w:divBdr>
        <w:top w:val="none" w:sz="0" w:space="0" w:color="auto"/>
        <w:left w:val="none" w:sz="0" w:space="0" w:color="auto"/>
        <w:bottom w:val="none" w:sz="0" w:space="0" w:color="auto"/>
        <w:right w:val="none" w:sz="0" w:space="0" w:color="auto"/>
      </w:divBdr>
    </w:div>
    <w:div w:id="456459102">
      <w:bodyDiv w:val="1"/>
      <w:marLeft w:val="0"/>
      <w:marRight w:val="0"/>
      <w:marTop w:val="0"/>
      <w:marBottom w:val="0"/>
      <w:divBdr>
        <w:top w:val="none" w:sz="0" w:space="0" w:color="auto"/>
        <w:left w:val="none" w:sz="0" w:space="0" w:color="auto"/>
        <w:bottom w:val="none" w:sz="0" w:space="0" w:color="auto"/>
        <w:right w:val="none" w:sz="0" w:space="0" w:color="auto"/>
      </w:divBdr>
    </w:div>
    <w:div w:id="469636634">
      <w:bodyDiv w:val="1"/>
      <w:marLeft w:val="0"/>
      <w:marRight w:val="0"/>
      <w:marTop w:val="0"/>
      <w:marBottom w:val="0"/>
      <w:divBdr>
        <w:top w:val="none" w:sz="0" w:space="0" w:color="auto"/>
        <w:left w:val="none" w:sz="0" w:space="0" w:color="auto"/>
        <w:bottom w:val="none" w:sz="0" w:space="0" w:color="auto"/>
        <w:right w:val="none" w:sz="0" w:space="0" w:color="auto"/>
      </w:divBdr>
    </w:div>
    <w:div w:id="493296941">
      <w:bodyDiv w:val="1"/>
      <w:marLeft w:val="0"/>
      <w:marRight w:val="0"/>
      <w:marTop w:val="0"/>
      <w:marBottom w:val="0"/>
      <w:divBdr>
        <w:top w:val="none" w:sz="0" w:space="0" w:color="auto"/>
        <w:left w:val="none" w:sz="0" w:space="0" w:color="auto"/>
        <w:bottom w:val="none" w:sz="0" w:space="0" w:color="auto"/>
        <w:right w:val="none" w:sz="0" w:space="0" w:color="auto"/>
      </w:divBdr>
    </w:div>
    <w:div w:id="522980093">
      <w:bodyDiv w:val="1"/>
      <w:marLeft w:val="0"/>
      <w:marRight w:val="0"/>
      <w:marTop w:val="0"/>
      <w:marBottom w:val="0"/>
      <w:divBdr>
        <w:top w:val="none" w:sz="0" w:space="0" w:color="auto"/>
        <w:left w:val="none" w:sz="0" w:space="0" w:color="auto"/>
        <w:bottom w:val="none" w:sz="0" w:space="0" w:color="auto"/>
        <w:right w:val="none" w:sz="0" w:space="0" w:color="auto"/>
      </w:divBdr>
    </w:div>
    <w:div w:id="680593196">
      <w:bodyDiv w:val="1"/>
      <w:marLeft w:val="0"/>
      <w:marRight w:val="0"/>
      <w:marTop w:val="0"/>
      <w:marBottom w:val="0"/>
      <w:divBdr>
        <w:top w:val="none" w:sz="0" w:space="0" w:color="auto"/>
        <w:left w:val="none" w:sz="0" w:space="0" w:color="auto"/>
        <w:bottom w:val="none" w:sz="0" w:space="0" w:color="auto"/>
        <w:right w:val="none" w:sz="0" w:space="0" w:color="auto"/>
      </w:divBdr>
    </w:div>
    <w:div w:id="688332218">
      <w:bodyDiv w:val="1"/>
      <w:marLeft w:val="0"/>
      <w:marRight w:val="0"/>
      <w:marTop w:val="0"/>
      <w:marBottom w:val="0"/>
      <w:divBdr>
        <w:top w:val="none" w:sz="0" w:space="0" w:color="auto"/>
        <w:left w:val="none" w:sz="0" w:space="0" w:color="auto"/>
        <w:bottom w:val="none" w:sz="0" w:space="0" w:color="auto"/>
        <w:right w:val="none" w:sz="0" w:space="0" w:color="auto"/>
      </w:divBdr>
    </w:div>
    <w:div w:id="752625050">
      <w:bodyDiv w:val="1"/>
      <w:marLeft w:val="0"/>
      <w:marRight w:val="0"/>
      <w:marTop w:val="0"/>
      <w:marBottom w:val="0"/>
      <w:divBdr>
        <w:top w:val="none" w:sz="0" w:space="0" w:color="auto"/>
        <w:left w:val="none" w:sz="0" w:space="0" w:color="auto"/>
        <w:bottom w:val="none" w:sz="0" w:space="0" w:color="auto"/>
        <w:right w:val="none" w:sz="0" w:space="0" w:color="auto"/>
      </w:divBdr>
    </w:div>
    <w:div w:id="760881830">
      <w:bodyDiv w:val="1"/>
      <w:marLeft w:val="0"/>
      <w:marRight w:val="0"/>
      <w:marTop w:val="0"/>
      <w:marBottom w:val="0"/>
      <w:divBdr>
        <w:top w:val="none" w:sz="0" w:space="0" w:color="auto"/>
        <w:left w:val="none" w:sz="0" w:space="0" w:color="auto"/>
        <w:bottom w:val="none" w:sz="0" w:space="0" w:color="auto"/>
        <w:right w:val="none" w:sz="0" w:space="0" w:color="auto"/>
      </w:divBdr>
    </w:div>
    <w:div w:id="761343655">
      <w:bodyDiv w:val="1"/>
      <w:marLeft w:val="0"/>
      <w:marRight w:val="0"/>
      <w:marTop w:val="0"/>
      <w:marBottom w:val="0"/>
      <w:divBdr>
        <w:top w:val="none" w:sz="0" w:space="0" w:color="auto"/>
        <w:left w:val="none" w:sz="0" w:space="0" w:color="auto"/>
        <w:bottom w:val="none" w:sz="0" w:space="0" w:color="auto"/>
        <w:right w:val="none" w:sz="0" w:space="0" w:color="auto"/>
      </w:divBdr>
    </w:div>
    <w:div w:id="774131149">
      <w:bodyDiv w:val="1"/>
      <w:marLeft w:val="0"/>
      <w:marRight w:val="0"/>
      <w:marTop w:val="0"/>
      <w:marBottom w:val="0"/>
      <w:divBdr>
        <w:top w:val="none" w:sz="0" w:space="0" w:color="auto"/>
        <w:left w:val="none" w:sz="0" w:space="0" w:color="auto"/>
        <w:bottom w:val="none" w:sz="0" w:space="0" w:color="auto"/>
        <w:right w:val="none" w:sz="0" w:space="0" w:color="auto"/>
      </w:divBdr>
    </w:div>
    <w:div w:id="806624757">
      <w:bodyDiv w:val="1"/>
      <w:marLeft w:val="0"/>
      <w:marRight w:val="0"/>
      <w:marTop w:val="0"/>
      <w:marBottom w:val="0"/>
      <w:divBdr>
        <w:top w:val="none" w:sz="0" w:space="0" w:color="auto"/>
        <w:left w:val="none" w:sz="0" w:space="0" w:color="auto"/>
        <w:bottom w:val="none" w:sz="0" w:space="0" w:color="auto"/>
        <w:right w:val="none" w:sz="0" w:space="0" w:color="auto"/>
      </w:divBdr>
    </w:div>
    <w:div w:id="826289847">
      <w:bodyDiv w:val="1"/>
      <w:marLeft w:val="0"/>
      <w:marRight w:val="0"/>
      <w:marTop w:val="0"/>
      <w:marBottom w:val="0"/>
      <w:divBdr>
        <w:top w:val="none" w:sz="0" w:space="0" w:color="auto"/>
        <w:left w:val="none" w:sz="0" w:space="0" w:color="auto"/>
        <w:bottom w:val="none" w:sz="0" w:space="0" w:color="auto"/>
        <w:right w:val="none" w:sz="0" w:space="0" w:color="auto"/>
      </w:divBdr>
    </w:div>
    <w:div w:id="856623386">
      <w:bodyDiv w:val="1"/>
      <w:marLeft w:val="0"/>
      <w:marRight w:val="0"/>
      <w:marTop w:val="0"/>
      <w:marBottom w:val="0"/>
      <w:divBdr>
        <w:top w:val="none" w:sz="0" w:space="0" w:color="auto"/>
        <w:left w:val="none" w:sz="0" w:space="0" w:color="auto"/>
        <w:bottom w:val="none" w:sz="0" w:space="0" w:color="auto"/>
        <w:right w:val="none" w:sz="0" w:space="0" w:color="auto"/>
      </w:divBdr>
    </w:div>
    <w:div w:id="898175374">
      <w:bodyDiv w:val="1"/>
      <w:marLeft w:val="0"/>
      <w:marRight w:val="0"/>
      <w:marTop w:val="0"/>
      <w:marBottom w:val="0"/>
      <w:divBdr>
        <w:top w:val="none" w:sz="0" w:space="0" w:color="auto"/>
        <w:left w:val="none" w:sz="0" w:space="0" w:color="auto"/>
        <w:bottom w:val="none" w:sz="0" w:space="0" w:color="auto"/>
        <w:right w:val="none" w:sz="0" w:space="0" w:color="auto"/>
      </w:divBdr>
    </w:div>
    <w:div w:id="957681982">
      <w:bodyDiv w:val="1"/>
      <w:marLeft w:val="0"/>
      <w:marRight w:val="0"/>
      <w:marTop w:val="0"/>
      <w:marBottom w:val="0"/>
      <w:divBdr>
        <w:top w:val="none" w:sz="0" w:space="0" w:color="auto"/>
        <w:left w:val="none" w:sz="0" w:space="0" w:color="auto"/>
        <w:bottom w:val="none" w:sz="0" w:space="0" w:color="auto"/>
        <w:right w:val="none" w:sz="0" w:space="0" w:color="auto"/>
      </w:divBdr>
    </w:div>
    <w:div w:id="992836049">
      <w:bodyDiv w:val="1"/>
      <w:marLeft w:val="0"/>
      <w:marRight w:val="0"/>
      <w:marTop w:val="0"/>
      <w:marBottom w:val="0"/>
      <w:divBdr>
        <w:top w:val="none" w:sz="0" w:space="0" w:color="auto"/>
        <w:left w:val="none" w:sz="0" w:space="0" w:color="auto"/>
        <w:bottom w:val="none" w:sz="0" w:space="0" w:color="auto"/>
        <w:right w:val="none" w:sz="0" w:space="0" w:color="auto"/>
      </w:divBdr>
    </w:div>
    <w:div w:id="999305758">
      <w:bodyDiv w:val="1"/>
      <w:marLeft w:val="0"/>
      <w:marRight w:val="0"/>
      <w:marTop w:val="0"/>
      <w:marBottom w:val="0"/>
      <w:divBdr>
        <w:top w:val="none" w:sz="0" w:space="0" w:color="auto"/>
        <w:left w:val="none" w:sz="0" w:space="0" w:color="auto"/>
        <w:bottom w:val="none" w:sz="0" w:space="0" w:color="auto"/>
        <w:right w:val="none" w:sz="0" w:space="0" w:color="auto"/>
      </w:divBdr>
    </w:div>
    <w:div w:id="1016688847">
      <w:bodyDiv w:val="1"/>
      <w:marLeft w:val="0"/>
      <w:marRight w:val="0"/>
      <w:marTop w:val="0"/>
      <w:marBottom w:val="0"/>
      <w:divBdr>
        <w:top w:val="none" w:sz="0" w:space="0" w:color="auto"/>
        <w:left w:val="none" w:sz="0" w:space="0" w:color="auto"/>
        <w:bottom w:val="none" w:sz="0" w:space="0" w:color="auto"/>
        <w:right w:val="none" w:sz="0" w:space="0" w:color="auto"/>
      </w:divBdr>
    </w:div>
    <w:div w:id="1042050466">
      <w:bodyDiv w:val="1"/>
      <w:marLeft w:val="0"/>
      <w:marRight w:val="0"/>
      <w:marTop w:val="0"/>
      <w:marBottom w:val="0"/>
      <w:divBdr>
        <w:top w:val="none" w:sz="0" w:space="0" w:color="auto"/>
        <w:left w:val="none" w:sz="0" w:space="0" w:color="auto"/>
        <w:bottom w:val="none" w:sz="0" w:space="0" w:color="auto"/>
        <w:right w:val="none" w:sz="0" w:space="0" w:color="auto"/>
      </w:divBdr>
    </w:div>
    <w:div w:id="1050153986">
      <w:bodyDiv w:val="1"/>
      <w:marLeft w:val="0"/>
      <w:marRight w:val="0"/>
      <w:marTop w:val="0"/>
      <w:marBottom w:val="0"/>
      <w:divBdr>
        <w:top w:val="none" w:sz="0" w:space="0" w:color="auto"/>
        <w:left w:val="none" w:sz="0" w:space="0" w:color="auto"/>
        <w:bottom w:val="none" w:sz="0" w:space="0" w:color="auto"/>
        <w:right w:val="none" w:sz="0" w:space="0" w:color="auto"/>
      </w:divBdr>
    </w:div>
    <w:div w:id="1052535916">
      <w:bodyDiv w:val="1"/>
      <w:marLeft w:val="0"/>
      <w:marRight w:val="0"/>
      <w:marTop w:val="0"/>
      <w:marBottom w:val="0"/>
      <w:divBdr>
        <w:top w:val="none" w:sz="0" w:space="0" w:color="auto"/>
        <w:left w:val="none" w:sz="0" w:space="0" w:color="auto"/>
        <w:bottom w:val="none" w:sz="0" w:space="0" w:color="auto"/>
        <w:right w:val="none" w:sz="0" w:space="0" w:color="auto"/>
      </w:divBdr>
    </w:div>
    <w:div w:id="1125655153">
      <w:bodyDiv w:val="1"/>
      <w:marLeft w:val="0"/>
      <w:marRight w:val="0"/>
      <w:marTop w:val="0"/>
      <w:marBottom w:val="0"/>
      <w:divBdr>
        <w:top w:val="none" w:sz="0" w:space="0" w:color="auto"/>
        <w:left w:val="none" w:sz="0" w:space="0" w:color="auto"/>
        <w:bottom w:val="none" w:sz="0" w:space="0" w:color="auto"/>
        <w:right w:val="none" w:sz="0" w:space="0" w:color="auto"/>
      </w:divBdr>
    </w:div>
    <w:div w:id="1149319377">
      <w:bodyDiv w:val="1"/>
      <w:marLeft w:val="0"/>
      <w:marRight w:val="0"/>
      <w:marTop w:val="0"/>
      <w:marBottom w:val="0"/>
      <w:divBdr>
        <w:top w:val="none" w:sz="0" w:space="0" w:color="auto"/>
        <w:left w:val="none" w:sz="0" w:space="0" w:color="auto"/>
        <w:bottom w:val="none" w:sz="0" w:space="0" w:color="auto"/>
        <w:right w:val="none" w:sz="0" w:space="0" w:color="auto"/>
      </w:divBdr>
    </w:div>
    <w:div w:id="1183125283">
      <w:bodyDiv w:val="1"/>
      <w:marLeft w:val="0"/>
      <w:marRight w:val="0"/>
      <w:marTop w:val="0"/>
      <w:marBottom w:val="0"/>
      <w:divBdr>
        <w:top w:val="none" w:sz="0" w:space="0" w:color="auto"/>
        <w:left w:val="none" w:sz="0" w:space="0" w:color="auto"/>
        <w:bottom w:val="none" w:sz="0" w:space="0" w:color="auto"/>
        <w:right w:val="none" w:sz="0" w:space="0" w:color="auto"/>
      </w:divBdr>
    </w:div>
    <w:div w:id="1343161162">
      <w:bodyDiv w:val="1"/>
      <w:marLeft w:val="0"/>
      <w:marRight w:val="0"/>
      <w:marTop w:val="0"/>
      <w:marBottom w:val="0"/>
      <w:divBdr>
        <w:top w:val="none" w:sz="0" w:space="0" w:color="auto"/>
        <w:left w:val="none" w:sz="0" w:space="0" w:color="auto"/>
        <w:bottom w:val="none" w:sz="0" w:space="0" w:color="auto"/>
        <w:right w:val="none" w:sz="0" w:space="0" w:color="auto"/>
      </w:divBdr>
    </w:div>
    <w:div w:id="1364553120">
      <w:bodyDiv w:val="1"/>
      <w:marLeft w:val="0"/>
      <w:marRight w:val="0"/>
      <w:marTop w:val="0"/>
      <w:marBottom w:val="0"/>
      <w:divBdr>
        <w:top w:val="none" w:sz="0" w:space="0" w:color="auto"/>
        <w:left w:val="none" w:sz="0" w:space="0" w:color="auto"/>
        <w:bottom w:val="none" w:sz="0" w:space="0" w:color="auto"/>
        <w:right w:val="none" w:sz="0" w:space="0" w:color="auto"/>
      </w:divBdr>
    </w:div>
    <w:div w:id="1431319583">
      <w:bodyDiv w:val="1"/>
      <w:marLeft w:val="0"/>
      <w:marRight w:val="0"/>
      <w:marTop w:val="0"/>
      <w:marBottom w:val="0"/>
      <w:divBdr>
        <w:top w:val="none" w:sz="0" w:space="0" w:color="auto"/>
        <w:left w:val="none" w:sz="0" w:space="0" w:color="auto"/>
        <w:bottom w:val="none" w:sz="0" w:space="0" w:color="auto"/>
        <w:right w:val="none" w:sz="0" w:space="0" w:color="auto"/>
      </w:divBdr>
    </w:div>
    <w:div w:id="1558737845">
      <w:bodyDiv w:val="1"/>
      <w:marLeft w:val="0"/>
      <w:marRight w:val="0"/>
      <w:marTop w:val="0"/>
      <w:marBottom w:val="0"/>
      <w:divBdr>
        <w:top w:val="none" w:sz="0" w:space="0" w:color="auto"/>
        <w:left w:val="none" w:sz="0" w:space="0" w:color="auto"/>
        <w:bottom w:val="none" w:sz="0" w:space="0" w:color="auto"/>
        <w:right w:val="none" w:sz="0" w:space="0" w:color="auto"/>
      </w:divBdr>
    </w:div>
    <w:div w:id="1560360743">
      <w:bodyDiv w:val="1"/>
      <w:marLeft w:val="0"/>
      <w:marRight w:val="0"/>
      <w:marTop w:val="0"/>
      <w:marBottom w:val="0"/>
      <w:divBdr>
        <w:top w:val="none" w:sz="0" w:space="0" w:color="auto"/>
        <w:left w:val="none" w:sz="0" w:space="0" w:color="auto"/>
        <w:bottom w:val="none" w:sz="0" w:space="0" w:color="auto"/>
        <w:right w:val="none" w:sz="0" w:space="0" w:color="auto"/>
      </w:divBdr>
    </w:div>
    <w:div w:id="1626766877">
      <w:bodyDiv w:val="1"/>
      <w:marLeft w:val="0"/>
      <w:marRight w:val="0"/>
      <w:marTop w:val="0"/>
      <w:marBottom w:val="0"/>
      <w:divBdr>
        <w:top w:val="none" w:sz="0" w:space="0" w:color="auto"/>
        <w:left w:val="none" w:sz="0" w:space="0" w:color="auto"/>
        <w:bottom w:val="none" w:sz="0" w:space="0" w:color="auto"/>
        <w:right w:val="none" w:sz="0" w:space="0" w:color="auto"/>
      </w:divBdr>
    </w:div>
    <w:div w:id="1652370394">
      <w:bodyDiv w:val="1"/>
      <w:marLeft w:val="0"/>
      <w:marRight w:val="0"/>
      <w:marTop w:val="0"/>
      <w:marBottom w:val="0"/>
      <w:divBdr>
        <w:top w:val="none" w:sz="0" w:space="0" w:color="auto"/>
        <w:left w:val="none" w:sz="0" w:space="0" w:color="auto"/>
        <w:bottom w:val="none" w:sz="0" w:space="0" w:color="auto"/>
        <w:right w:val="none" w:sz="0" w:space="0" w:color="auto"/>
      </w:divBdr>
    </w:div>
    <w:div w:id="1665891811">
      <w:bodyDiv w:val="1"/>
      <w:marLeft w:val="0"/>
      <w:marRight w:val="0"/>
      <w:marTop w:val="0"/>
      <w:marBottom w:val="0"/>
      <w:divBdr>
        <w:top w:val="none" w:sz="0" w:space="0" w:color="auto"/>
        <w:left w:val="none" w:sz="0" w:space="0" w:color="auto"/>
        <w:bottom w:val="none" w:sz="0" w:space="0" w:color="auto"/>
        <w:right w:val="none" w:sz="0" w:space="0" w:color="auto"/>
      </w:divBdr>
    </w:div>
    <w:div w:id="1666586660">
      <w:bodyDiv w:val="1"/>
      <w:marLeft w:val="0"/>
      <w:marRight w:val="0"/>
      <w:marTop w:val="0"/>
      <w:marBottom w:val="0"/>
      <w:divBdr>
        <w:top w:val="none" w:sz="0" w:space="0" w:color="auto"/>
        <w:left w:val="none" w:sz="0" w:space="0" w:color="auto"/>
        <w:bottom w:val="none" w:sz="0" w:space="0" w:color="auto"/>
        <w:right w:val="none" w:sz="0" w:space="0" w:color="auto"/>
      </w:divBdr>
    </w:div>
    <w:div w:id="1695762394">
      <w:bodyDiv w:val="1"/>
      <w:marLeft w:val="0"/>
      <w:marRight w:val="0"/>
      <w:marTop w:val="0"/>
      <w:marBottom w:val="0"/>
      <w:divBdr>
        <w:top w:val="none" w:sz="0" w:space="0" w:color="auto"/>
        <w:left w:val="none" w:sz="0" w:space="0" w:color="auto"/>
        <w:bottom w:val="none" w:sz="0" w:space="0" w:color="auto"/>
        <w:right w:val="none" w:sz="0" w:space="0" w:color="auto"/>
      </w:divBdr>
    </w:div>
    <w:div w:id="1709602996">
      <w:bodyDiv w:val="1"/>
      <w:marLeft w:val="0"/>
      <w:marRight w:val="0"/>
      <w:marTop w:val="0"/>
      <w:marBottom w:val="0"/>
      <w:divBdr>
        <w:top w:val="none" w:sz="0" w:space="0" w:color="auto"/>
        <w:left w:val="none" w:sz="0" w:space="0" w:color="auto"/>
        <w:bottom w:val="none" w:sz="0" w:space="0" w:color="auto"/>
        <w:right w:val="none" w:sz="0" w:space="0" w:color="auto"/>
      </w:divBdr>
    </w:div>
    <w:div w:id="1718431892">
      <w:bodyDiv w:val="1"/>
      <w:marLeft w:val="0"/>
      <w:marRight w:val="0"/>
      <w:marTop w:val="0"/>
      <w:marBottom w:val="0"/>
      <w:divBdr>
        <w:top w:val="none" w:sz="0" w:space="0" w:color="auto"/>
        <w:left w:val="none" w:sz="0" w:space="0" w:color="auto"/>
        <w:bottom w:val="none" w:sz="0" w:space="0" w:color="auto"/>
        <w:right w:val="none" w:sz="0" w:space="0" w:color="auto"/>
      </w:divBdr>
    </w:div>
    <w:div w:id="1736736662">
      <w:bodyDiv w:val="1"/>
      <w:marLeft w:val="0"/>
      <w:marRight w:val="0"/>
      <w:marTop w:val="0"/>
      <w:marBottom w:val="0"/>
      <w:divBdr>
        <w:top w:val="none" w:sz="0" w:space="0" w:color="auto"/>
        <w:left w:val="none" w:sz="0" w:space="0" w:color="auto"/>
        <w:bottom w:val="none" w:sz="0" w:space="0" w:color="auto"/>
        <w:right w:val="none" w:sz="0" w:space="0" w:color="auto"/>
      </w:divBdr>
    </w:div>
    <w:div w:id="1738435828">
      <w:bodyDiv w:val="1"/>
      <w:marLeft w:val="0"/>
      <w:marRight w:val="0"/>
      <w:marTop w:val="0"/>
      <w:marBottom w:val="0"/>
      <w:divBdr>
        <w:top w:val="none" w:sz="0" w:space="0" w:color="auto"/>
        <w:left w:val="none" w:sz="0" w:space="0" w:color="auto"/>
        <w:bottom w:val="none" w:sz="0" w:space="0" w:color="auto"/>
        <w:right w:val="none" w:sz="0" w:space="0" w:color="auto"/>
      </w:divBdr>
    </w:div>
    <w:div w:id="1771510215">
      <w:bodyDiv w:val="1"/>
      <w:marLeft w:val="0"/>
      <w:marRight w:val="0"/>
      <w:marTop w:val="0"/>
      <w:marBottom w:val="0"/>
      <w:divBdr>
        <w:top w:val="none" w:sz="0" w:space="0" w:color="auto"/>
        <w:left w:val="none" w:sz="0" w:space="0" w:color="auto"/>
        <w:bottom w:val="none" w:sz="0" w:space="0" w:color="auto"/>
        <w:right w:val="none" w:sz="0" w:space="0" w:color="auto"/>
      </w:divBdr>
    </w:div>
    <w:div w:id="1782649658">
      <w:bodyDiv w:val="1"/>
      <w:marLeft w:val="0"/>
      <w:marRight w:val="0"/>
      <w:marTop w:val="0"/>
      <w:marBottom w:val="0"/>
      <w:divBdr>
        <w:top w:val="none" w:sz="0" w:space="0" w:color="auto"/>
        <w:left w:val="none" w:sz="0" w:space="0" w:color="auto"/>
        <w:bottom w:val="none" w:sz="0" w:space="0" w:color="auto"/>
        <w:right w:val="none" w:sz="0" w:space="0" w:color="auto"/>
      </w:divBdr>
    </w:div>
    <w:div w:id="1817064409">
      <w:bodyDiv w:val="1"/>
      <w:marLeft w:val="0"/>
      <w:marRight w:val="0"/>
      <w:marTop w:val="0"/>
      <w:marBottom w:val="0"/>
      <w:divBdr>
        <w:top w:val="none" w:sz="0" w:space="0" w:color="auto"/>
        <w:left w:val="none" w:sz="0" w:space="0" w:color="auto"/>
        <w:bottom w:val="none" w:sz="0" w:space="0" w:color="auto"/>
        <w:right w:val="none" w:sz="0" w:space="0" w:color="auto"/>
      </w:divBdr>
    </w:div>
    <w:div w:id="1825511275">
      <w:bodyDiv w:val="1"/>
      <w:marLeft w:val="0"/>
      <w:marRight w:val="0"/>
      <w:marTop w:val="0"/>
      <w:marBottom w:val="0"/>
      <w:divBdr>
        <w:top w:val="none" w:sz="0" w:space="0" w:color="auto"/>
        <w:left w:val="none" w:sz="0" w:space="0" w:color="auto"/>
        <w:bottom w:val="none" w:sz="0" w:space="0" w:color="auto"/>
        <w:right w:val="none" w:sz="0" w:space="0" w:color="auto"/>
      </w:divBdr>
    </w:div>
    <w:div w:id="1872842321">
      <w:bodyDiv w:val="1"/>
      <w:marLeft w:val="0"/>
      <w:marRight w:val="0"/>
      <w:marTop w:val="0"/>
      <w:marBottom w:val="0"/>
      <w:divBdr>
        <w:top w:val="none" w:sz="0" w:space="0" w:color="auto"/>
        <w:left w:val="none" w:sz="0" w:space="0" w:color="auto"/>
        <w:bottom w:val="none" w:sz="0" w:space="0" w:color="auto"/>
        <w:right w:val="none" w:sz="0" w:space="0" w:color="auto"/>
      </w:divBdr>
    </w:div>
    <w:div w:id="1935703028">
      <w:bodyDiv w:val="1"/>
      <w:marLeft w:val="0"/>
      <w:marRight w:val="0"/>
      <w:marTop w:val="0"/>
      <w:marBottom w:val="0"/>
      <w:divBdr>
        <w:top w:val="none" w:sz="0" w:space="0" w:color="auto"/>
        <w:left w:val="none" w:sz="0" w:space="0" w:color="auto"/>
        <w:bottom w:val="none" w:sz="0" w:space="0" w:color="auto"/>
        <w:right w:val="none" w:sz="0" w:space="0" w:color="auto"/>
      </w:divBdr>
    </w:div>
    <w:div w:id="1962372685">
      <w:bodyDiv w:val="1"/>
      <w:marLeft w:val="0"/>
      <w:marRight w:val="0"/>
      <w:marTop w:val="0"/>
      <w:marBottom w:val="0"/>
      <w:divBdr>
        <w:top w:val="none" w:sz="0" w:space="0" w:color="auto"/>
        <w:left w:val="none" w:sz="0" w:space="0" w:color="auto"/>
        <w:bottom w:val="none" w:sz="0" w:space="0" w:color="auto"/>
        <w:right w:val="none" w:sz="0" w:space="0" w:color="auto"/>
      </w:divBdr>
    </w:div>
    <w:div w:id="1992906089">
      <w:bodyDiv w:val="1"/>
      <w:marLeft w:val="0"/>
      <w:marRight w:val="0"/>
      <w:marTop w:val="0"/>
      <w:marBottom w:val="0"/>
      <w:divBdr>
        <w:top w:val="none" w:sz="0" w:space="0" w:color="auto"/>
        <w:left w:val="none" w:sz="0" w:space="0" w:color="auto"/>
        <w:bottom w:val="none" w:sz="0" w:space="0" w:color="auto"/>
        <w:right w:val="none" w:sz="0" w:space="0" w:color="auto"/>
      </w:divBdr>
    </w:div>
    <w:div w:id="2032414572">
      <w:bodyDiv w:val="1"/>
      <w:marLeft w:val="0"/>
      <w:marRight w:val="0"/>
      <w:marTop w:val="0"/>
      <w:marBottom w:val="0"/>
      <w:divBdr>
        <w:top w:val="none" w:sz="0" w:space="0" w:color="auto"/>
        <w:left w:val="none" w:sz="0" w:space="0" w:color="auto"/>
        <w:bottom w:val="none" w:sz="0" w:space="0" w:color="auto"/>
        <w:right w:val="none" w:sz="0" w:space="0" w:color="auto"/>
      </w:divBdr>
    </w:div>
    <w:div w:id="2045475344">
      <w:bodyDiv w:val="1"/>
      <w:marLeft w:val="0"/>
      <w:marRight w:val="0"/>
      <w:marTop w:val="0"/>
      <w:marBottom w:val="0"/>
      <w:divBdr>
        <w:top w:val="none" w:sz="0" w:space="0" w:color="auto"/>
        <w:left w:val="none" w:sz="0" w:space="0" w:color="auto"/>
        <w:bottom w:val="none" w:sz="0" w:space="0" w:color="auto"/>
        <w:right w:val="none" w:sz="0" w:space="0" w:color="auto"/>
      </w:divBdr>
    </w:div>
    <w:div w:id="2049065909">
      <w:bodyDiv w:val="1"/>
      <w:marLeft w:val="0"/>
      <w:marRight w:val="0"/>
      <w:marTop w:val="0"/>
      <w:marBottom w:val="0"/>
      <w:divBdr>
        <w:top w:val="none" w:sz="0" w:space="0" w:color="auto"/>
        <w:left w:val="none" w:sz="0" w:space="0" w:color="auto"/>
        <w:bottom w:val="none" w:sz="0" w:space="0" w:color="auto"/>
        <w:right w:val="none" w:sz="0" w:space="0" w:color="auto"/>
      </w:divBdr>
    </w:div>
    <w:div w:id="2050714604">
      <w:bodyDiv w:val="1"/>
      <w:marLeft w:val="0"/>
      <w:marRight w:val="0"/>
      <w:marTop w:val="0"/>
      <w:marBottom w:val="0"/>
      <w:divBdr>
        <w:top w:val="none" w:sz="0" w:space="0" w:color="auto"/>
        <w:left w:val="none" w:sz="0" w:space="0" w:color="auto"/>
        <w:bottom w:val="none" w:sz="0" w:space="0" w:color="auto"/>
        <w:right w:val="none" w:sz="0" w:space="0" w:color="auto"/>
      </w:divBdr>
      <w:divsChild>
        <w:div w:id="109669670">
          <w:marLeft w:val="0"/>
          <w:marRight w:val="0"/>
          <w:marTop w:val="0"/>
          <w:marBottom w:val="0"/>
          <w:divBdr>
            <w:top w:val="none" w:sz="0" w:space="0" w:color="auto"/>
            <w:left w:val="none" w:sz="0" w:space="0" w:color="auto"/>
            <w:bottom w:val="none" w:sz="0" w:space="0" w:color="auto"/>
            <w:right w:val="none" w:sz="0" w:space="0" w:color="auto"/>
          </w:divBdr>
        </w:div>
      </w:divsChild>
    </w:div>
    <w:div w:id="2058502193">
      <w:bodyDiv w:val="1"/>
      <w:marLeft w:val="0"/>
      <w:marRight w:val="0"/>
      <w:marTop w:val="0"/>
      <w:marBottom w:val="0"/>
      <w:divBdr>
        <w:top w:val="none" w:sz="0" w:space="0" w:color="auto"/>
        <w:left w:val="none" w:sz="0" w:space="0" w:color="auto"/>
        <w:bottom w:val="none" w:sz="0" w:space="0" w:color="auto"/>
        <w:right w:val="none" w:sz="0" w:space="0" w:color="auto"/>
      </w:divBdr>
    </w:div>
    <w:div w:id="2114547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di.e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giersch@bdi.e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footer2.xml.rels><?xml version="1.0" encoding="UTF-8" standalone="yes"?>
<Relationships xmlns="http://schemas.openxmlformats.org/package/2006/relationships"><Relationship Id="rId2" Type="http://schemas.openxmlformats.org/officeDocument/2006/relationships/hyperlink" Target="mailto:m.mustermann@bdi.eu" TargetMode="External"/><Relationship Id="rId1" Type="http://schemas.openxmlformats.org/officeDocument/2006/relationships/image" Target="media/image3.emf"/></Relationships>
</file>

<file path=word/_rels/header3.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1862FBEC98046BCB8BDF45BB1368072"/>
        <w:category>
          <w:name w:val="Allgemein"/>
          <w:gallery w:val="placeholder"/>
        </w:category>
        <w:types>
          <w:type w:val="bbPlcHdr"/>
        </w:types>
        <w:behaviors>
          <w:behavior w:val="content"/>
        </w:behaviors>
        <w:guid w:val="{5F509059-61A3-480A-B085-C56AED921FE2}"/>
      </w:docPartPr>
      <w:docPartBody>
        <w:p w:rsidR="00365315" w:rsidRDefault="00365315">
          <w:pPr>
            <w:pStyle w:val="B1862FBEC98046BCB8BDF45BB1368072"/>
          </w:pPr>
          <w:r w:rsidRPr="001718C1">
            <w:rPr>
              <w:rStyle w:val="Platzhaltertext"/>
            </w:rPr>
            <w:t>Klicken oder tippen Sie hier, um Text einzugeben.</w:t>
          </w:r>
        </w:p>
      </w:docPartBody>
    </w:docPart>
    <w:docPart>
      <w:docPartPr>
        <w:name w:val="FD6204F1A1124627B4160ACB280084CB"/>
        <w:category>
          <w:name w:val="Allgemein"/>
          <w:gallery w:val="placeholder"/>
        </w:category>
        <w:types>
          <w:type w:val="bbPlcHdr"/>
        </w:types>
        <w:behaviors>
          <w:behavior w:val="content"/>
        </w:behaviors>
        <w:guid w:val="{EA4DD3AE-CCAC-442C-A290-A6FFF95C619B}"/>
      </w:docPartPr>
      <w:docPartBody>
        <w:p w:rsidR="00365315" w:rsidRDefault="00365315">
          <w:pPr>
            <w:pStyle w:val="FD6204F1A1124627B4160ACB280084CB"/>
          </w:pPr>
          <w:r w:rsidRPr="003473F6">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Textkörper CS)">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315"/>
    <w:rsid w:val="00004FE2"/>
    <w:rsid w:val="00015A5B"/>
    <w:rsid w:val="00022582"/>
    <w:rsid w:val="000412D7"/>
    <w:rsid w:val="000476E8"/>
    <w:rsid w:val="00066A6F"/>
    <w:rsid w:val="00092D7C"/>
    <w:rsid w:val="000C7F08"/>
    <w:rsid w:val="00122A41"/>
    <w:rsid w:val="00134B6B"/>
    <w:rsid w:val="001B308D"/>
    <w:rsid w:val="001F1AFD"/>
    <w:rsid w:val="002134F2"/>
    <w:rsid w:val="00232196"/>
    <w:rsid w:val="00276B69"/>
    <w:rsid w:val="00282E03"/>
    <w:rsid w:val="0028435C"/>
    <w:rsid w:val="002B5C0B"/>
    <w:rsid w:val="002E0C0D"/>
    <w:rsid w:val="002E1ED7"/>
    <w:rsid w:val="002E383D"/>
    <w:rsid w:val="002E4D7A"/>
    <w:rsid w:val="00316AA1"/>
    <w:rsid w:val="00326F48"/>
    <w:rsid w:val="0033297B"/>
    <w:rsid w:val="00340134"/>
    <w:rsid w:val="00354364"/>
    <w:rsid w:val="00365315"/>
    <w:rsid w:val="00383D7D"/>
    <w:rsid w:val="003C2FB7"/>
    <w:rsid w:val="003D48C4"/>
    <w:rsid w:val="0041333A"/>
    <w:rsid w:val="004711A1"/>
    <w:rsid w:val="004726FA"/>
    <w:rsid w:val="00483C8F"/>
    <w:rsid w:val="004B0D89"/>
    <w:rsid w:val="004C1129"/>
    <w:rsid w:val="00542B2D"/>
    <w:rsid w:val="00565A67"/>
    <w:rsid w:val="00603647"/>
    <w:rsid w:val="00624718"/>
    <w:rsid w:val="00636C8C"/>
    <w:rsid w:val="00676B03"/>
    <w:rsid w:val="006870C0"/>
    <w:rsid w:val="006B5212"/>
    <w:rsid w:val="006D5FA5"/>
    <w:rsid w:val="00720075"/>
    <w:rsid w:val="00726DA6"/>
    <w:rsid w:val="007276C0"/>
    <w:rsid w:val="00763880"/>
    <w:rsid w:val="0076749E"/>
    <w:rsid w:val="00777EA6"/>
    <w:rsid w:val="00782727"/>
    <w:rsid w:val="007C2827"/>
    <w:rsid w:val="007C5857"/>
    <w:rsid w:val="007F6046"/>
    <w:rsid w:val="00827AD7"/>
    <w:rsid w:val="0085795D"/>
    <w:rsid w:val="0087104B"/>
    <w:rsid w:val="008D31B1"/>
    <w:rsid w:val="00916AA1"/>
    <w:rsid w:val="009338BE"/>
    <w:rsid w:val="0098157E"/>
    <w:rsid w:val="00995BFD"/>
    <w:rsid w:val="009B284F"/>
    <w:rsid w:val="009C65C6"/>
    <w:rsid w:val="009F1B93"/>
    <w:rsid w:val="009F7D9D"/>
    <w:rsid w:val="00A11DAA"/>
    <w:rsid w:val="00A7211F"/>
    <w:rsid w:val="00B054DB"/>
    <w:rsid w:val="00B11952"/>
    <w:rsid w:val="00B93F9E"/>
    <w:rsid w:val="00B946CC"/>
    <w:rsid w:val="00BA7214"/>
    <w:rsid w:val="00BC75A0"/>
    <w:rsid w:val="00BD5846"/>
    <w:rsid w:val="00BE5BA7"/>
    <w:rsid w:val="00C00C08"/>
    <w:rsid w:val="00C17E9B"/>
    <w:rsid w:val="00C22B05"/>
    <w:rsid w:val="00C4368C"/>
    <w:rsid w:val="00C86A45"/>
    <w:rsid w:val="00CC3E8F"/>
    <w:rsid w:val="00CF4BF0"/>
    <w:rsid w:val="00D1340F"/>
    <w:rsid w:val="00D578C3"/>
    <w:rsid w:val="00D76AFE"/>
    <w:rsid w:val="00D93EBE"/>
    <w:rsid w:val="00DA53F9"/>
    <w:rsid w:val="00DB404E"/>
    <w:rsid w:val="00DC1050"/>
    <w:rsid w:val="00E059B9"/>
    <w:rsid w:val="00E13454"/>
    <w:rsid w:val="00E1638A"/>
    <w:rsid w:val="00E47DCA"/>
    <w:rsid w:val="00E54915"/>
    <w:rsid w:val="00EA59A1"/>
    <w:rsid w:val="00EB5791"/>
    <w:rsid w:val="00EC21B0"/>
    <w:rsid w:val="00F24DC4"/>
    <w:rsid w:val="00F70205"/>
    <w:rsid w:val="00F93AFC"/>
    <w:rsid w:val="00FA28F1"/>
    <w:rsid w:val="00FB0379"/>
    <w:rsid w:val="00FC6E99"/>
    <w:rsid w:val="00FE0629"/>
    <w:rsid w:val="00FF6D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22A41"/>
    <w:rPr>
      <w:color w:val="808080"/>
    </w:rPr>
  </w:style>
  <w:style w:type="paragraph" w:customStyle="1" w:styleId="B1862FBEC98046BCB8BDF45BB1368072">
    <w:name w:val="B1862FBEC98046BCB8BDF45BB1368072"/>
  </w:style>
  <w:style w:type="paragraph" w:customStyle="1" w:styleId="FD6204F1A1124627B4160ACB280084CB">
    <w:name w:val="FD6204F1A1124627B4160ACB280084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BD">
  <a:themeElements>
    <a:clrScheme name="BDI-Farben_1">
      <a:dk1>
        <a:srgbClr val="3C505A"/>
      </a:dk1>
      <a:lt1>
        <a:srgbClr val="FFFFFF"/>
      </a:lt1>
      <a:dk2>
        <a:srgbClr val="009EE0"/>
      </a:dk2>
      <a:lt2>
        <a:srgbClr val="FFFFFF"/>
      </a:lt2>
      <a:accent1>
        <a:srgbClr val="009EE0"/>
      </a:accent1>
      <a:accent2>
        <a:srgbClr val="33B1E6"/>
      </a:accent2>
      <a:accent3>
        <a:srgbClr val="66C5EC"/>
      </a:accent3>
      <a:accent4>
        <a:srgbClr val="EA5929"/>
      </a:accent4>
      <a:accent5>
        <a:srgbClr val="840265"/>
      </a:accent5>
      <a:accent6>
        <a:srgbClr val="3C505A"/>
      </a:accent6>
      <a:hlink>
        <a:srgbClr val="63737B"/>
      </a:hlink>
      <a:folHlink>
        <a:srgbClr val="8A969C"/>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9536</Words>
  <Characters>60078</Characters>
  <Application>Microsoft Office Word</Application>
  <DocSecurity>0</DocSecurity>
  <Lines>500</Lines>
  <Paragraphs>138</Paragraphs>
  <ScaleCrop>false</ScaleCrop>
  <HeadingPairs>
    <vt:vector size="2" baseType="variant">
      <vt:variant>
        <vt:lpstr>Titel</vt:lpstr>
      </vt:variant>
      <vt:variant>
        <vt:i4>1</vt:i4>
      </vt:variant>
    </vt:vector>
  </HeadingPairs>
  <TitlesOfParts>
    <vt:vector size="1" baseType="lpstr">
      <vt:lpstr>BDI-Stellungnahme zur Umsetzung der EU-Richtlinie über Industrieemissionen (IED)</vt:lpstr>
    </vt:vector>
  </TitlesOfParts>
  <Manager/>
  <Company/>
  <LinksUpToDate>false</LinksUpToDate>
  <CharactersWithSpaces>69476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BDI zum Artikelgesetz zur IED-Umsetzung</dc:title>
  <dc:subject/>
  <dc:creator>Schuppert, Anna</dc:creator>
  <cp:keywords/>
  <dc:description/>
  <cp:lastModifiedBy>Giersch, Annette</cp:lastModifiedBy>
  <cp:revision>2</cp:revision>
  <cp:lastPrinted>2025-01-06T15:20:00Z</cp:lastPrinted>
  <dcterms:created xsi:type="dcterms:W3CDTF">2025-01-06T15:21:00Z</dcterms:created>
  <dcterms:modified xsi:type="dcterms:W3CDTF">2025-01-06T15:21:00Z</dcterms:modified>
  <cp:category/>
</cp:coreProperties>
</file>