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148DC" w14:textId="77777777" w:rsidR="00427C59" w:rsidRPr="002151D7" w:rsidRDefault="00906CC8" w:rsidP="00427C59">
      <w:pPr>
        <w:framePr w:w="4678" w:h="420" w:hRule="exact" w:hSpace="181" w:wrap="around" w:vAnchor="page" w:hAnchor="page" w:x="1696" w:y="1192"/>
        <w:rPr>
          <w:rFonts w:ascii="Verdana" w:hAnsi="Verdana"/>
          <w:b/>
          <w:sz w:val="28"/>
          <w:szCs w:val="20"/>
        </w:rPr>
      </w:pPr>
      <w:r w:rsidRPr="002151D7">
        <w:rPr>
          <w:rFonts w:ascii="Verdana" w:hAnsi="Verdana"/>
          <w:b/>
          <w:sz w:val="24"/>
          <w:szCs w:val="20"/>
        </w:rPr>
        <w:t>ITAD-Faktenblatt</w:t>
      </w:r>
    </w:p>
    <w:p w14:paraId="5D45163B" w14:textId="77777777" w:rsidR="00427C59" w:rsidRPr="002151D7" w:rsidRDefault="00427C59" w:rsidP="00427C59">
      <w:pPr>
        <w:framePr w:w="4678" w:h="420" w:hRule="exact" w:hSpace="181" w:wrap="around" w:vAnchor="page" w:hAnchor="page" w:x="1696" w:y="1192"/>
        <w:rPr>
          <w:rFonts w:ascii="Verdana" w:hAnsi="Verdana"/>
          <w:szCs w:val="20"/>
        </w:rPr>
      </w:pPr>
    </w:p>
    <w:p w14:paraId="3E72CE5E" w14:textId="6E8FFC65" w:rsidR="00427C59" w:rsidRPr="007E7A62" w:rsidRDefault="00906CC8" w:rsidP="00427C59">
      <w:pPr>
        <w:framePr w:w="3068" w:h="356" w:hRule="exact" w:wrap="around" w:vAnchor="page" w:hAnchor="page" w:x="1702" w:y="1653"/>
        <w:rPr>
          <w:rFonts w:ascii="Verdana" w:hAnsi="Verdana"/>
          <w:sz w:val="18"/>
          <w:szCs w:val="18"/>
        </w:rPr>
      </w:pPr>
      <w:r w:rsidRPr="007E7A62">
        <w:rPr>
          <w:rFonts w:ascii="Verdana" w:hAnsi="Verdana"/>
          <w:sz w:val="18"/>
          <w:szCs w:val="18"/>
        </w:rPr>
        <w:t xml:space="preserve">Stand: </w:t>
      </w:r>
      <w:r w:rsidR="002151D7">
        <w:rPr>
          <w:rFonts w:ascii="Verdana" w:hAnsi="Verdana"/>
          <w:sz w:val="18"/>
          <w:szCs w:val="18"/>
        </w:rPr>
        <w:t>14</w:t>
      </w:r>
      <w:r w:rsidRPr="007E7A62">
        <w:rPr>
          <w:rFonts w:ascii="Verdana" w:hAnsi="Verdana"/>
          <w:sz w:val="18"/>
          <w:szCs w:val="18"/>
        </w:rPr>
        <w:t>.</w:t>
      </w:r>
      <w:r w:rsidR="007E7A62" w:rsidRPr="007E7A62">
        <w:rPr>
          <w:rFonts w:ascii="Verdana" w:hAnsi="Verdana"/>
          <w:sz w:val="18"/>
          <w:szCs w:val="18"/>
        </w:rPr>
        <w:t>10</w:t>
      </w:r>
      <w:r w:rsidRPr="007E7A62">
        <w:rPr>
          <w:rFonts w:ascii="Verdana" w:hAnsi="Verdana"/>
          <w:sz w:val="18"/>
          <w:szCs w:val="18"/>
        </w:rPr>
        <w:t>.20</w:t>
      </w:r>
      <w:r w:rsidR="007E7A62" w:rsidRPr="007E7A62">
        <w:rPr>
          <w:rFonts w:ascii="Verdana" w:hAnsi="Verdana"/>
          <w:sz w:val="18"/>
          <w:szCs w:val="18"/>
        </w:rPr>
        <w:t>25</w:t>
      </w:r>
    </w:p>
    <w:p w14:paraId="5563CC6E" w14:textId="211F8FEF" w:rsidR="00994802" w:rsidRPr="007E7A62" w:rsidRDefault="007E7A62" w:rsidP="00994802">
      <w:pPr>
        <w:spacing w:after="240"/>
        <w:rPr>
          <w:rFonts w:ascii="Verdana" w:hAnsi="Verdana"/>
          <w:b/>
          <w:sz w:val="28"/>
          <w:szCs w:val="28"/>
        </w:rPr>
      </w:pPr>
      <w:r w:rsidRPr="007E7A62">
        <w:rPr>
          <w:rFonts w:ascii="Verdana" w:hAnsi="Verdana"/>
          <w:b/>
          <w:sz w:val="28"/>
          <w:szCs w:val="28"/>
        </w:rPr>
        <w:t>Empfehlungen zum Betrieb der Radioaktivitätsmessung</w:t>
      </w:r>
    </w:p>
    <w:p w14:paraId="56953FCC" w14:textId="0188E0F3" w:rsidR="007E7A62" w:rsidRPr="007E7A62" w:rsidRDefault="007E7A62" w:rsidP="007E7A62">
      <w:pPr>
        <w:jc w:val="both"/>
        <w:rPr>
          <w:rFonts w:ascii="Verdana" w:hAnsi="Verdana"/>
          <w:szCs w:val="20"/>
        </w:rPr>
      </w:pPr>
      <w:r w:rsidRPr="007E7A62">
        <w:rPr>
          <w:rFonts w:ascii="Verdana" w:hAnsi="Verdana"/>
          <w:szCs w:val="20"/>
        </w:rPr>
        <w:t>Die Handlungsempfehlungen durch die Klärung der Auslegungsfragen der 17. BImSchV durch das LAI oder Vollzugshinweise verschiedener Landesbehörden (</w:t>
      </w:r>
      <w:r w:rsidR="008D26DF">
        <w:rPr>
          <w:rFonts w:ascii="Verdana" w:hAnsi="Verdana"/>
          <w:szCs w:val="20"/>
        </w:rPr>
        <w:t>z.</w:t>
      </w:r>
      <w:r w:rsidRPr="007E7A62">
        <w:rPr>
          <w:rFonts w:ascii="Verdana" w:hAnsi="Verdana"/>
          <w:szCs w:val="20"/>
        </w:rPr>
        <w:t>B. LfU in Bayern) sind selbst nicht rechtsbindend, weder für TAB-Betreiber, noch für die mit dem Immissionsschutz betrauten Landesbehörden. Sie dienen zunächst ausschließlich als Orientierung anhand derer die Anlagenbetreiber mit der jeweiligen Überwachungsbehörde bilateral Regelungen treffen können.</w:t>
      </w:r>
    </w:p>
    <w:p w14:paraId="36BD467B" w14:textId="587A4305" w:rsidR="007E7A62" w:rsidRPr="007E7A62" w:rsidRDefault="007E7A62" w:rsidP="007E7A62">
      <w:pPr>
        <w:jc w:val="both"/>
        <w:rPr>
          <w:rFonts w:ascii="Verdana" w:hAnsi="Verdana"/>
          <w:szCs w:val="20"/>
        </w:rPr>
      </w:pPr>
      <w:r w:rsidRPr="007E7A62">
        <w:rPr>
          <w:rFonts w:ascii="Verdana" w:hAnsi="Verdana"/>
          <w:szCs w:val="20"/>
        </w:rPr>
        <w:t xml:space="preserve">Auch wenn insbesondere die Vollzugshinweise zur Radioaktivitätserkennung in vielen Fällen pragmatische Ansätze verfolgen und deren Befolgung in </w:t>
      </w:r>
      <w:r w:rsidR="008D26DF">
        <w:rPr>
          <w:rFonts w:ascii="Verdana" w:hAnsi="Verdana"/>
          <w:szCs w:val="20"/>
        </w:rPr>
        <w:t>einigen</w:t>
      </w:r>
      <w:r w:rsidRPr="007E7A62">
        <w:rPr>
          <w:rFonts w:ascii="Verdana" w:hAnsi="Verdana"/>
          <w:szCs w:val="20"/>
        </w:rPr>
        <w:t xml:space="preserve"> Fällen sinnvoll sein kann, sind TAB-Betreiber nicht rechtlich verpflichtet, alle </w:t>
      </w:r>
      <w:r w:rsidR="008D26DF">
        <w:rPr>
          <w:rFonts w:ascii="Verdana" w:hAnsi="Verdana"/>
          <w:szCs w:val="20"/>
        </w:rPr>
        <w:t xml:space="preserve">diese </w:t>
      </w:r>
      <w:r w:rsidRPr="007E7A62">
        <w:rPr>
          <w:rFonts w:ascii="Verdana" w:hAnsi="Verdana"/>
          <w:szCs w:val="20"/>
        </w:rPr>
        <w:t xml:space="preserve">Anforderungen </w:t>
      </w:r>
      <w:r w:rsidR="008D26DF">
        <w:rPr>
          <w:rFonts w:ascii="Verdana" w:hAnsi="Verdana"/>
          <w:szCs w:val="20"/>
        </w:rPr>
        <w:t>auf behördlichen Wunsch</w:t>
      </w:r>
      <w:r w:rsidRPr="007E7A62">
        <w:rPr>
          <w:rFonts w:ascii="Verdana" w:hAnsi="Verdana"/>
          <w:szCs w:val="20"/>
        </w:rPr>
        <w:t xml:space="preserve"> umzusetzen. Im Rahmen der Ad hoc AG Radioaktivitätsmessung sind einige d</w:t>
      </w:r>
      <w:r w:rsidR="008D26DF">
        <w:rPr>
          <w:rFonts w:ascii="Verdana" w:hAnsi="Verdana"/>
          <w:szCs w:val="20"/>
        </w:rPr>
        <w:t>er aktuellen Vollzugshinweise</w:t>
      </w:r>
      <w:r w:rsidRPr="007E7A62">
        <w:rPr>
          <w:rFonts w:ascii="Verdana" w:hAnsi="Verdana"/>
          <w:szCs w:val="20"/>
        </w:rPr>
        <w:t xml:space="preserve"> diskutiert worden. </w:t>
      </w:r>
      <w:r w:rsidR="008D26DF">
        <w:rPr>
          <w:rFonts w:ascii="Verdana" w:hAnsi="Verdana"/>
          <w:szCs w:val="20"/>
        </w:rPr>
        <w:t>Nach Einschätzung der Ad hoc AG Radioaktivitätsmessung beschränkt sich die Pflicht des Betreibers</w:t>
      </w:r>
      <w:r w:rsidR="002151D7">
        <w:rPr>
          <w:rFonts w:ascii="Verdana" w:hAnsi="Verdana"/>
          <w:szCs w:val="20"/>
        </w:rPr>
        <w:t xml:space="preserve"> nach §3 Abs. 1 der 17. BImSchV und §153 Abs. 2 Pkt. 4 des </w:t>
      </w:r>
      <w:proofErr w:type="spellStart"/>
      <w:r w:rsidR="002151D7">
        <w:rPr>
          <w:rFonts w:ascii="Verdana" w:hAnsi="Verdana"/>
          <w:szCs w:val="20"/>
        </w:rPr>
        <w:t>StrSchG</w:t>
      </w:r>
      <w:proofErr w:type="spellEnd"/>
      <w:r w:rsidR="008D26DF">
        <w:rPr>
          <w:rFonts w:ascii="Verdana" w:hAnsi="Verdana"/>
          <w:szCs w:val="20"/>
        </w:rPr>
        <w:t xml:space="preserve"> </w:t>
      </w:r>
      <w:proofErr w:type="spellStart"/>
      <w:r w:rsidR="008D26DF">
        <w:rPr>
          <w:rFonts w:ascii="Verdana" w:hAnsi="Verdana"/>
          <w:szCs w:val="20"/>
        </w:rPr>
        <w:t>i.W</w:t>
      </w:r>
      <w:proofErr w:type="spellEnd"/>
      <w:r w:rsidR="008D26DF">
        <w:rPr>
          <w:rFonts w:ascii="Verdana" w:hAnsi="Verdana"/>
          <w:szCs w:val="20"/>
        </w:rPr>
        <w:t xml:space="preserve">. auf „Messen und Melden“. </w:t>
      </w:r>
      <w:r w:rsidRPr="007E7A62">
        <w:rPr>
          <w:rFonts w:ascii="Verdana" w:hAnsi="Verdana"/>
          <w:szCs w:val="20"/>
        </w:rPr>
        <w:t xml:space="preserve">Im Folgenden werden </w:t>
      </w:r>
      <w:r w:rsidR="008D26DF">
        <w:rPr>
          <w:rFonts w:ascii="Verdana" w:hAnsi="Verdana"/>
          <w:szCs w:val="20"/>
        </w:rPr>
        <w:t xml:space="preserve">deshalb </w:t>
      </w:r>
      <w:r w:rsidRPr="007E7A62">
        <w:rPr>
          <w:rFonts w:ascii="Verdana" w:hAnsi="Verdana"/>
          <w:szCs w:val="20"/>
        </w:rPr>
        <w:t>nicht</w:t>
      </w:r>
      <w:r w:rsidR="008D26DF">
        <w:rPr>
          <w:rFonts w:ascii="Verdana" w:hAnsi="Verdana"/>
          <w:szCs w:val="20"/>
        </w:rPr>
        <w:t>-</w:t>
      </w:r>
      <w:r w:rsidRPr="007E7A62">
        <w:rPr>
          <w:rFonts w:ascii="Verdana" w:hAnsi="Verdana"/>
          <w:szCs w:val="20"/>
        </w:rPr>
        <w:t xml:space="preserve">abschließende Hinweise gegeben, wie mit einigen der Anforderungen umgegangen werden </w:t>
      </w:r>
      <w:r w:rsidR="008D26DF">
        <w:rPr>
          <w:rFonts w:ascii="Verdana" w:hAnsi="Verdana"/>
          <w:szCs w:val="20"/>
        </w:rPr>
        <w:t>kann</w:t>
      </w:r>
      <w:r w:rsidRPr="007E7A62">
        <w:rPr>
          <w:rFonts w:ascii="Verdana" w:hAnsi="Verdana"/>
          <w:szCs w:val="20"/>
        </w:rPr>
        <w:t>.</w:t>
      </w:r>
    </w:p>
    <w:p w14:paraId="248D4F96" w14:textId="77777777" w:rsidR="00C579AA" w:rsidRPr="00C579AA" w:rsidRDefault="007E7A62" w:rsidP="007E7A62">
      <w:pPr>
        <w:jc w:val="both"/>
        <w:rPr>
          <w:rFonts w:ascii="Verdana" w:hAnsi="Verdana"/>
        </w:rPr>
      </w:pPr>
      <w:r w:rsidRPr="00C579AA">
        <w:rPr>
          <w:rFonts w:ascii="Verdana" w:hAnsi="Verdana"/>
        </w:rPr>
        <w:t>Eine Beurteilung, ob und wie mit diesen Hinweisen umgegangen wird, obliegt letztendlich den Betreibern.</w:t>
      </w:r>
    </w:p>
    <w:p w14:paraId="04C23B5C" w14:textId="77777777" w:rsidR="00C579AA" w:rsidRPr="00C579AA" w:rsidRDefault="00C579AA" w:rsidP="00C579AA">
      <w:pPr>
        <w:pStyle w:val="Listenabsatz"/>
        <w:numPr>
          <w:ilvl w:val="0"/>
          <w:numId w:val="1"/>
        </w:numPr>
        <w:jc w:val="both"/>
        <w:rPr>
          <w:rFonts w:ascii="Verdana" w:hAnsi="Verdana"/>
          <w:sz w:val="22"/>
          <w:szCs w:val="22"/>
        </w:rPr>
      </w:pPr>
      <w:r w:rsidRPr="00C579AA">
        <w:rPr>
          <w:rFonts w:ascii="Verdana" w:hAnsi="Verdana"/>
          <w:sz w:val="22"/>
          <w:szCs w:val="22"/>
        </w:rPr>
        <w:t>Änderungsanzeige</w:t>
      </w:r>
    </w:p>
    <w:p w14:paraId="2A6BF052" w14:textId="38549248" w:rsidR="00C579AA" w:rsidRPr="00C579AA" w:rsidRDefault="00C579AA" w:rsidP="00C579AA">
      <w:pPr>
        <w:pStyle w:val="Listenabsatz"/>
        <w:numPr>
          <w:ilvl w:val="1"/>
          <w:numId w:val="1"/>
        </w:numPr>
        <w:jc w:val="both"/>
        <w:rPr>
          <w:rFonts w:ascii="Verdana" w:hAnsi="Verdana"/>
          <w:sz w:val="22"/>
          <w:szCs w:val="22"/>
        </w:rPr>
      </w:pPr>
      <w:r w:rsidRPr="00C579AA">
        <w:rPr>
          <w:rFonts w:ascii="Verdana" w:hAnsi="Verdana"/>
          <w:sz w:val="22"/>
          <w:szCs w:val="22"/>
        </w:rPr>
        <w:t xml:space="preserve">Beschränken Sie die Anzeige der Änderung einer genehmigungsbedürftigen Anlage nach §15 BImSchG auf die Installation der Portalmessanlage (Gleiches gilt für eine Anzeige nach §16 BImSchG, obwohl diese nicht einschlägig sein sollte). Nehmen Sie hier keine dazugehörigen Betriebsabläufe oder -flächen mit auf. Durch die Aufnahme in die Anzeige nach §15 können diese zur Rechtspflicht werden und es kann zu </w:t>
      </w:r>
      <w:r w:rsidRPr="00C579AA">
        <w:rPr>
          <w:rFonts w:ascii="Verdana" w:hAnsi="Verdana"/>
          <w:sz w:val="22"/>
          <w:szCs w:val="22"/>
        </w:rPr>
        <w:lastRenderedPageBreak/>
        <w:t>Schwierigkeiten kommen, sollte zu einem späteren Zeitpunkt Änderungsbedarf bestehen. Beschränken Sie daher die Anzeige nach §15</w:t>
      </w:r>
      <w:r>
        <w:rPr>
          <w:rFonts w:ascii="Verdana" w:hAnsi="Verdana"/>
          <w:sz w:val="22"/>
          <w:szCs w:val="22"/>
        </w:rPr>
        <w:t> </w:t>
      </w:r>
      <w:r w:rsidRPr="00C579AA">
        <w:rPr>
          <w:rFonts w:ascii="Verdana" w:hAnsi="Verdana"/>
          <w:sz w:val="22"/>
          <w:szCs w:val="22"/>
        </w:rPr>
        <w:t>BImSchG auf ihre Verpflichtungen aus §3 der 17.</w:t>
      </w:r>
      <w:r>
        <w:rPr>
          <w:rFonts w:ascii="Verdana" w:hAnsi="Verdana"/>
          <w:sz w:val="22"/>
          <w:szCs w:val="22"/>
        </w:rPr>
        <w:t> </w:t>
      </w:r>
      <w:r w:rsidRPr="00C579AA">
        <w:rPr>
          <w:rFonts w:ascii="Verdana" w:hAnsi="Verdana"/>
          <w:sz w:val="22"/>
          <w:szCs w:val="22"/>
        </w:rPr>
        <w:t>BImSchV („Installation einer Radioaktivitätserkennung“) und treffen Sie vorerst keine weiteren Regelungen innerhalb der Genehmigung. Regelungen können mit der zuständigen Überwachungsbehörde geregelt bzw. auf andere Weise formalisiert werden.</w:t>
      </w:r>
    </w:p>
    <w:p w14:paraId="70FB0FE2" w14:textId="77777777" w:rsidR="00C579AA" w:rsidRPr="00C579AA" w:rsidRDefault="00C579AA" w:rsidP="00C579AA">
      <w:pPr>
        <w:pStyle w:val="Listenabsatz"/>
        <w:ind w:left="1440"/>
        <w:jc w:val="both"/>
        <w:rPr>
          <w:rFonts w:ascii="Verdana" w:hAnsi="Verdana"/>
          <w:sz w:val="22"/>
          <w:szCs w:val="22"/>
        </w:rPr>
      </w:pPr>
    </w:p>
    <w:p w14:paraId="09EF409A" w14:textId="77777777" w:rsidR="00C579AA" w:rsidRPr="00C579AA" w:rsidRDefault="00C579AA" w:rsidP="00C579AA">
      <w:pPr>
        <w:pStyle w:val="Listenabsatz"/>
        <w:numPr>
          <w:ilvl w:val="0"/>
          <w:numId w:val="1"/>
        </w:numPr>
        <w:jc w:val="both"/>
        <w:rPr>
          <w:rFonts w:ascii="Verdana" w:hAnsi="Verdana"/>
          <w:sz w:val="22"/>
          <w:szCs w:val="22"/>
        </w:rPr>
      </w:pPr>
      <w:r w:rsidRPr="00C579AA">
        <w:rPr>
          <w:rFonts w:ascii="Verdana" w:hAnsi="Verdana"/>
          <w:sz w:val="22"/>
          <w:szCs w:val="22"/>
        </w:rPr>
        <w:t>Interpretation von Messergebnissen</w:t>
      </w:r>
    </w:p>
    <w:p w14:paraId="30E8C7A3" w14:textId="131AA1A9" w:rsidR="00C579AA" w:rsidRPr="00C579AA" w:rsidRDefault="00C579AA" w:rsidP="00C579AA">
      <w:pPr>
        <w:pStyle w:val="Listenabsatz"/>
        <w:numPr>
          <w:ilvl w:val="1"/>
          <w:numId w:val="1"/>
        </w:numPr>
        <w:jc w:val="both"/>
        <w:rPr>
          <w:rFonts w:ascii="Verdana" w:hAnsi="Verdana"/>
          <w:sz w:val="22"/>
          <w:szCs w:val="22"/>
        </w:rPr>
      </w:pPr>
      <w:r w:rsidRPr="00C579AA">
        <w:rPr>
          <w:rFonts w:ascii="Verdana" w:hAnsi="Verdana"/>
          <w:sz w:val="22"/>
          <w:szCs w:val="22"/>
        </w:rPr>
        <w:t>Interpretation von Messergebnissen</w:t>
      </w:r>
      <w:r w:rsidR="002151D7">
        <w:rPr>
          <w:rFonts w:ascii="Verdana" w:hAnsi="Verdana"/>
          <w:sz w:val="22"/>
          <w:szCs w:val="22"/>
        </w:rPr>
        <w:t xml:space="preserve"> der Nuklidbestimmung</w:t>
      </w:r>
      <w:r w:rsidRPr="00C579AA">
        <w:rPr>
          <w:rFonts w:ascii="Verdana" w:hAnsi="Verdana"/>
          <w:sz w:val="22"/>
          <w:szCs w:val="22"/>
        </w:rPr>
        <w:t xml:space="preserve"> und insbesondere die Entscheidung zum weiteren Verfahren nach einem Fund erfordert Sachkunde im Strahlenschutz, die vom Betreiber nicht verlangt werden kann. Entsprechend sollten nur die Messergebnisse, nicht aber deren Interpretation an Behörden übermittelt werden.</w:t>
      </w:r>
    </w:p>
    <w:p w14:paraId="4602D464" w14:textId="77777777" w:rsidR="00C579AA" w:rsidRPr="00C579AA" w:rsidRDefault="00C579AA" w:rsidP="00C579AA">
      <w:pPr>
        <w:pStyle w:val="Listenabsatz"/>
        <w:ind w:left="1440"/>
        <w:jc w:val="both"/>
        <w:rPr>
          <w:rFonts w:ascii="Verdana" w:hAnsi="Verdana"/>
          <w:sz w:val="22"/>
          <w:szCs w:val="22"/>
        </w:rPr>
      </w:pPr>
    </w:p>
    <w:p w14:paraId="73BD030D" w14:textId="77777777" w:rsidR="00C579AA" w:rsidRPr="00C579AA" w:rsidRDefault="00C579AA" w:rsidP="00C579AA">
      <w:pPr>
        <w:pStyle w:val="Listenabsatz"/>
        <w:numPr>
          <w:ilvl w:val="0"/>
          <w:numId w:val="1"/>
        </w:numPr>
        <w:jc w:val="both"/>
        <w:rPr>
          <w:rFonts w:ascii="Verdana" w:hAnsi="Verdana"/>
          <w:sz w:val="22"/>
          <w:szCs w:val="22"/>
        </w:rPr>
      </w:pPr>
      <w:r w:rsidRPr="00C579AA">
        <w:rPr>
          <w:rFonts w:ascii="Verdana" w:hAnsi="Verdana"/>
          <w:sz w:val="22"/>
          <w:szCs w:val="22"/>
        </w:rPr>
        <w:t>Anschaffung eines Handmessgerätes zur Nuklidbestimmung</w:t>
      </w:r>
    </w:p>
    <w:p w14:paraId="352B123E" w14:textId="68CC362F" w:rsidR="00C579AA" w:rsidRPr="00C579AA" w:rsidRDefault="00CA2EB1" w:rsidP="00C579AA">
      <w:pPr>
        <w:pStyle w:val="Listenabsatz"/>
        <w:numPr>
          <w:ilvl w:val="1"/>
          <w:numId w:val="1"/>
        </w:numPr>
        <w:jc w:val="both"/>
        <w:rPr>
          <w:rFonts w:ascii="Verdana" w:hAnsi="Verdana"/>
          <w:sz w:val="22"/>
          <w:szCs w:val="22"/>
        </w:rPr>
      </w:pPr>
      <w:r>
        <w:rPr>
          <w:rFonts w:ascii="Verdana" w:hAnsi="Verdana"/>
          <w:sz w:val="22"/>
          <w:szCs w:val="22"/>
        </w:rPr>
        <w:t xml:space="preserve">Der Einsatz eines Handmessgerätes zur Nuklidbestimmung nach Alarm der Portalmessanlage kann in vielen Fällen sinnvoll sein, um den </w:t>
      </w:r>
      <w:r w:rsidR="00C579AA" w:rsidRPr="00C579AA">
        <w:rPr>
          <w:rFonts w:ascii="Verdana" w:hAnsi="Verdana"/>
          <w:sz w:val="22"/>
          <w:szCs w:val="22"/>
        </w:rPr>
        <w:t xml:space="preserve">Aufwand bei Betreibern und Behörden zu reduzieren. </w:t>
      </w:r>
      <w:r>
        <w:rPr>
          <w:rFonts w:ascii="Verdana" w:hAnsi="Verdana"/>
          <w:sz w:val="22"/>
          <w:szCs w:val="22"/>
        </w:rPr>
        <w:t xml:space="preserve">Anhand der Messergebnisse der Nuklidbestimmung können die Behörden unter Umständen Entscheidungen treffen ohne selbst vor Ort sein zu müssen. </w:t>
      </w:r>
      <w:r w:rsidR="00C579AA" w:rsidRPr="00C579AA">
        <w:rPr>
          <w:rFonts w:ascii="Verdana" w:hAnsi="Verdana"/>
          <w:sz w:val="22"/>
          <w:szCs w:val="22"/>
        </w:rPr>
        <w:t>Eine Pflicht zur Anschaffung besteht aber nicht.</w:t>
      </w:r>
    </w:p>
    <w:p w14:paraId="4FEA1E37" w14:textId="77777777" w:rsidR="00C579AA" w:rsidRPr="00C579AA" w:rsidRDefault="00C579AA" w:rsidP="00C579AA">
      <w:pPr>
        <w:pStyle w:val="Listenabsatz"/>
        <w:ind w:left="1440"/>
        <w:jc w:val="both"/>
        <w:rPr>
          <w:rFonts w:ascii="Verdana" w:hAnsi="Verdana"/>
          <w:sz w:val="22"/>
          <w:szCs w:val="22"/>
        </w:rPr>
      </w:pPr>
    </w:p>
    <w:p w14:paraId="5067AC90" w14:textId="74BE7A88" w:rsidR="00C579AA" w:rsidRPr="00C579AA" w:rsidRDefault="007A6BEC" w:rsidP="00C579AA">
      <w:pPr>
        <w:pStyle w:val="Listenabsatz"/>
        <w:numPr>
          <w:ilvl w:val="0"/>
          <w:numId w:val="1"/>
        </w:numPr>
        <w:jc w:val="both"/>
        <w:rPr>
          <w:rFonts w:ascii="Verdana" w:hAnsi="Verdana"/>
          <w:sz w:val="22"/>
          <w:szCs w:val="22"/>
        </w:rPr>
      </w:pPr>
      <w:r>
        <w:rPr>
          <w:rFonts w:ascii="Verdana" w:hAnsi="Verdana"/>
          <w:sz w:val="22"/>
          <w:szCs w:val="22"/>
        </w:rPr>
        <w:t>Umgang</w:t>
      </w:r>
      <w:r w:rsidR="00C579AA" w:rsidRPr="00C579AA">
        <w:rPr>
          <w:rFonts w:ascii="Verdana" w:hAnsi="Verdana"/>
          <w:sz w:val="22"/>
          <w:szCs w:val="22"/>
        </w:rPr>
        <w:t xml:space="preserve"> </w:t>
      </w:r>
      <w:r>
        <w:rPr>
          <w:rFonts w:ascii="Verdana" w:hAnsi="Verdana"/>
          <w:sz w:val="22"/>
          <w:szCs w:val="22"/>
        </w:rPr>
        <w:t>bei</w:t>
      </w:r>
      <w:r w:rsidR="00C579AA" w:rsidRPr="00C579AA">
        <w:rPr>
          <w:rFonts w:ascii="Verdana" w:hAnsi="Verdana"/>
          <w:sz w:val="22"/>
          <w:szCs w:val="22"/>
        </w:rPr>
        <w:t xml:space="preserve"> </w:t>
      </w:r>
      <w:r>
        <w:rPr>
          <w:rFonts w:ascii="Verdana" w:hAnsi="Verdana"/>
          <w:sz w:val="22"/>
          <w:szCs w:val="22"/>
        </w:rPr>
        <w:t>Erkennung verdächtigen Materials</w:t>
      </w:r>
    </w:p>
    <w:p w14:paraId="3453FA90" w14:textId="6AA0459D" w:rsidR="00C579AA" w:rsidRPr="00C579AA" w:rsidRDefault="007A6BEC" w:rsidP="00C579AA">
      <w:pPr>
        <w:pStyle w:val="Listenabsatz"/>
        <w:numPr>
          <w:ilvl w:val="1"/>
          <w:numId w:val="1"/>
        </w:numPr>
        <w:jc w:val="both"/>
        <w:rPr>
          <w:rFonts w:ascii="Verdana" w:hAnsi="Verdana"/>
          <w:sz w:val="22"/>
          <w:szCs w:val="22"/>
        </w:rPr>
      </w:pPr>
      <w:r>
        <w:rPr>
          <w:rFonts w:ascii="Verdana" w:hAnsi="Verdana"/>
          <w:sz w:val="22"/>
          <w:szCs w:val="22"/>
        </w:rPr>
        <w:t xml:space="preserve">Radioaktives Material darf in der Regel nicht ohne Genehmigung über öffentliche Straßen abtransportiert werden, jedoch kann vom Anlagenbetreiber nicht verlangt werden, den Fahrzeugführer vor Ort festzuhalten, da dies eine </w:t>
      </w:r>
      <w:r w:rsidR="002151D7">
        <w:rPr>
          <w:rFonts w:ascii="Verdana" w:hAnsi="Verdana"/>
          <w:sz w:val="22"/>
          <w:szCs w:val="22"/>
        </w:rPr>
        <w:lastRenderedPageBreak/>
        <w:t>Nötigung</w:t>
      </w:r>
      <w:r>
        <w:rPr>
          <w:rFonts w:ascii="Verdana" w:hAnsi="Verdana"/>
          <w:sz w:val="22"/>
          <w:szCs w:val="22"/>
        </w:rPr>
        <w:t xml:space="preserve"> bedeuten würde. Es empfiehlt sich, eine Belehrung des Fahrzeugführers darüber in verschiedenen Sprachen vorzubereiten.</w:t>
      </w:r>
    </w:p>
    <w:p w14:paraId="14C02F85" w14:textId="62551301" w:rsidR="00C579AA" w:rsidRDefault="007A6BEC" w:rsidP="00C579AA">
      <w:pPr>
        <w:pStyle w:val="Listenabsatz"/>
        <w:numPr>
          <w:ilvl w:val="1"/>
          <w:numId w:val="1"/>
        </w:numPr>
        <w:jc w:val="both"/>
        <w:rPr>
          <w:rFonts w:ascii="Verdana" w:hAnsi="Verdana"/>
          <w:sz w:val="22"/>
          <w:szCs w:val="22"/>
        </w:rPr>
      </w:pPr>
      <w:r>
        <w:rPr>
          <w:rFonts w:ascii="Verdana" w:hAnsi="Verdana"/>
          <w:sz w:val="22"/>
          <w:szCs w:val="22"/>
        </w:rPr>
        <w:t>Der Weitertransport der Anlieferung</w:t>
      </w:r>
      <w:r w:rsidR="00F65CEF">
        <w:rPr>
          <w:rFonts w:ascii="Verdana" w:hAnsi="Verdana"/>
          <w:sz w:val="22"/>
          <w:szCs w:val="22"/>
        </w:rPr>
        <w:t xml:space="preserve"> außerhalb des Anlagengrundstücks sollte nur auf Anordnung der zuständigen Behörde geschehen.</w:t>
      </w:r>
    </w:p>
    <w:p w14:paraId="3C055306" w14:textId="2E784ACD" w:rsidR="002151D7" w:rsidRDefault="002151D7" w:rsidP="00C579AA">
      <w:pPr>
        <w:pStyle w:val="Listenabsatz"/>
        <w:numPr>
          <w:ilvl w:val="1"/>
          <w:numId w:val="1"/>
        </w:numPr>
        <w:jc w:val="both"/>
        <w:rPr>
          <w:rFonts w:ascii="Verdana" w:hAnsi="Verdana"/>
          <w:sz w:val="22"/>
          <w:szCs w:val="22"/>
        </w:rPr>
      </w:pPr>
      <w:r>
        <w:rPr>
          <w:rFonts w:ascii="Verdana" w:hAnsi="Verdana"/>
          <w:sz w:val="22"/>
          <w:szCs w:val="22"/>
        </w:rPr>
        <w:t>Wir verweisen an dieser Stelle auf einen Auszug eines durch ein Mitgliedsunternehmen beauftragtes Rechtsgutachten:</w:t>
      </w:r>
    </w:p>
    <w:p w14:paraId="6EAAC0E7" w14:textId="11394FF4" w:rsidR="002151D7" w:rsidRPr="002151D7" w:rsidRDefault="002151D7" w:rsidP="002151D7">
      <w:pPr>
        <w:pStyle w:val="Listenabsatz"/>
        <w:ind w:left="1440"/>
        <w:jc w:val="both"/>
        <w:rPr>
          <w:rFonts w:ascii="Verdana" w:hAnsi="Verdana"/>
          <w:i/>
          <w:iCs/>
          <w:sz w:val="22"/>
          <w:szCs w:val="22"/>
        </w:rPr>
      </w:pPr>
      <w:r w:rsidRPr="002151D7">
        <w:rPr>
          <w:rFonts w:ascii="Verdana" w:hAnsi="Verdana"/>
          <w:i/>
          <w:iCs/>
          <w:sz w:val="22"/>
          <w:szCs w:val="22"/>
        </w:rPr>
        <w:t>„Im Übrigen darf der Fund nach der gesetzliche</w:t>
      </w:r>
      <w:r>
        <w:rPr>
          <w:rFonts w:ascii="Verdana" w:hAnsi="Verdana"/>
          <w:i/>
          <w:iCs/>
          <w:sz w:val="22"/>
          <w:szCs w:val="22"/>
        </w:rPr>
        <w:t>n</w:t>
      </w:r>
      <w:r w:rsidRPr="002151D7">
        <w:rPr>
          <w:rFonts w:ascii="Verdana" w:hAnsi="Verdana"/>
          <w:i/>
          <w:iCs/>
          <w:sz w:val="22"/>
          <w:szCs w:val="22"/>
        </w:rPr>
        <w:t xml:space="preserve"> Regelung des § 168 Abs. 4 StrlSchV nach der Meldung an die Behörde entweder nur ganz kurzfristig „bis zur Entscheidung der zuständigen Behörde“ beim Finder verbleiben, oder im begründeten Einzelfall – </w:t>
      </w:r>
      <w:r w:rsidRPr="002151D7">
        <w:rPr>
          <w:rFonts w:ascii="Verdana" w:hAnsi="Verdana"/>
          <w:b/>
          <w:bCs/>
          <w:i/>
          <w:iCs/>
          <w:sz w:val="22"/>
          <w:szCs w:val="22"/>
        </w:rPr>
        <w:t>auf explizite Anordnung</w:t>
      </w:r>
      <w:r w:rsidRPr="002151D7">
        <w:rPr>
          <w:rFonts w:ascii="Verdana" w:hAnsi="Verdana"/>
          <w:i/>
          <w:iCs/>
          <w:sz w:val="22"/>
          <w:szCs w:val="22"/>
        </w:rPr>
        <w:t xml:space="preserve"> der Behörde – auch für einen kurzen Zeitraum darüber hinaus zwischengelagert werden. Für eine abstrakt-generelle Festlegung dieses Vorgehens, etwa im Wege einer </w:t>
      </w:r>
      <w:r w:rsidRPr="002151D7">
        <w:rPr>
          <w:rFonts w:ascii="Verdana" w:hAnsi="Verdana"/>
          <w:b/>
          <w:bCs/>
          <w:i/>
          <w:iCs/>
          <w:sz w:val="22"/>
          <w:szCs w:val="22"/>
        </w:rPr>
        <w:t>Nebenbestimmung</w:t>
      </w:r>
      <w:r w:rsidRPr="002151D7">
        <w:rPr>
          <w:rFonts w:ascii="Verdana" w:hAnsi="Verdana"/>
          <w:i/>
          <w:iCs/>
          <w:sz w:val="22"/>
          <w:szCs w:val="22"/>
        </w:rPr>
        <w:t xml:space="preserve"> zu eine</w:t>
      </w:r>
      <w:r>
        <w:rPr>
          <w:rFonts w:ascii="Verdana" w:hAnsi="Verdana"/>
          <w:i/>
          <w:iCs/>
          <w:sz w:val="22"/>
          <w:szCs w:val="22"/>
        </w:rPr>
        <w:t>r</w:t>
      </w:r>
      <w:r w:rsidRPr="002151D7">
        <w:rPr>
          <w:rFonts w:ascii="Verdana" w:hAnsi="Verdana"/>
          <w:i/>
          <w:iCs/>
          <w:sz w:val="22"/>
          <w:szCs w:val="22"/>
        </w:rPr>
        <w:t xml:space="preserve"> immissionsschutzrechtlichen</w:t>
      </w:r>
      <w:r>
        <w:rPr>
          <w:rFonts w:ascii="Verdana" w:hAnsi="Verdana"/>
          <w:i/>
          <w:iCs/>
          <w:sz w:val="22"/>
          <w:szCs w:val="22"/>
        </w:rPr>
        <w:t xml:space="preserve"> </w:t>
      </w:r>
      <w:r w:rsidRPr="002151D7">
        <w:rPr>
          <w:rFonts w:ascii="Verdana" w:hAnsi="Verdana"/>
          <w:i/>
          <w:iCs/>
          <w:sz w:val="22"/>
          <w:szCs w:val="22"/>
        </w:rPr>
        <w:t xml:space="preserve">Anlagengenehmigung, </w:t>
      </w:r>
      <w:r w:rsidRPr="002151D7">
        <w:rPr>
          <w:rFonts w:ascii="Verdana" w:hAnsi="Verdana"/>
          <w:b/>
          <w:bCs/>
          <w:i/>
          <w:iCs/>
          <w:sz w:val="22"/>
          <w:szCs w:val="22"/>
        </w:rPr>
        <w:t>fehlt</w:t>
      </w:r>
      <w:r w:rsidRPr="002151D7">
        <w:rPr>
          <w:rFonts w:ascii="Verdana" w:hAnsi="Verdana"/>
          <w:i/>
          <w:iCs/>
          <w:sz w:val="22"/>
          <w:szCs w:val="22"/>
        </w:rPr>
        <w:t xml:space="preserve"> es nach der geltenden Rechtslage an der erforderlichen </w:t>
      </w:r>
      <w:r w:rsidRPr="002151D7">
        <w:rPr>
          <w:rFonts w:ascii="Verdana" w:hAnsi="Verdana"/>
          <w:b/>
          <w:bCs/>
          <w:i/>
          <w:iCs/>
          <w:sz w:val="22"/>
          <w:szCs w:val="22"/>
        </w:rPr>
        <w:t>gesetzlichen Ermächtigungsgrundlage</w:t>
      </w:r>
      <w:r w:rsidRPr="002151D7">
        <w:rPr>
          <w:rFonts w:ascii="Verdana" w:hAnsi="Verdana"/>
          <w:i/>
          <w:iCs/>
          <w:sz w:val="22"/>
          <w:szCs w:val="22"/>
        </w:rPr>
        <w:t>.“</w:t>
      </w:r>
    </w:p>
    <w:p w14:paraId="0E875853" w14:textId="77777777" w:rsidR="00C579AA" w:rsidRPr="00C579AA" w:rsidRDefault="00C579AA" w:rsidP="00C579AA">
      <w:pPr>
        <w:pStyle w:val="Listenabsatz"/>
        <w:ind w:left="1440"/>
        <w:jc w:val="both"/>
        <w:rPr>
          <w:rFonts w:ascii="Verdana" w:hAnsi="Verdana"/>
          <w:sz w:val="22"/>
          <w:szCs w:val="22"/>
        </w:rPr>
      </w:pPr>
    </w:p>
    <w:p w14:paraId="2BEBC68D" w14:textId="29547B4C" w:rsidR="00C579AA" w:rsidRPr="00C579AA" w:rsidRDefault="00F65CEF" w:rsidP="00C579AA">
      <w:pPr>
        <w:pStyle w:val="Listenabsatz"/>
        <w:numPr>
          <w:ilvl w:val="0"/>
          <w:numId w:val="1"/>
        </w:numPr>
        <w:jc w:val="both"/>
        <w:rPr>
          <w:rFonts w:ascii="Verdana" w:hAnsi="Verdana"/>
          <w:sz w:val="22"/>
          <w:szCs w:val="22"/>
        </w:rPr>
      </w:pPr>
      <w:r>
        <w:rPr>
          <w:rFonts w:ascii="Verdana" w:hAnsi="Verdana"/>
          <w:sz w:val="22"/>
          <w:szCs w:val="22"/>
        </w:rPr>
        <w:t>Flächen für Quarantäne und Vereinzelung</w:t>
      </w:r>
    </w:p>
    <w:p w14:paraId="48046759" w14:textId="3DB4742E" w:rsidR="00C579AA" w:rsidRPr="00F65CEF" w:rsidRDefault="00F65CEF" w:rsidP="00F65CEF">
      <w:pPr>
        <w:pStyle w:val="Listenabsatz"/>
        <w:numPr>
          <w:ilvl w:val="1"/>
          <w:numId w:val="1"/>
        </w:numPr>
        <w:jc w:val="both"/>
        <w:rPr>
          <w:rFonts w:ascii="Verdana" w:hAnsi="Verdana"/>
          <w:sz w:val="22"/>
          <w:szCs w:val="22"/>
        </w:rPr>
      </w:pPr>
      <w:r>
        <w:rPr>
          <w:rFonts w:ascii="Verdana" w:hAnsi="Verdana"/>
          <w:sz w:val="22"/>
          <w:szCs w:val="22"/>
        </w:rPr>
        <w:t xml:space="preserve">Flächen für die Quarantäne oder Vereinzelung verdächtigen Materials sollten im Voraus mit der zuständigen Behörde </w:t>
      </w:r>
      <w:r w:rsidR="008F59F2">
        <w:rPr>
          <w:rFonts w:ascii="Verdana" w:hAnsi="Verdana"/>
          <w:sz w:val="22"/>
          <w:szCs w:val="22"/>
        </w:rPr>
        <w:t xml:space="preserve">abgestimmt </w:t>
      </w:r>
      <w:r>
        <w:rPr>
          <w:rFonts w:ascii="Verdana" w:hAnsi="Verdana"/>
          <w:sz w:val="22"/>
          <w:szCs w:val="22"/>
        </w:rPr>
        <w:t>werden. Diese Flächen müssen sich nicht zwangsläufig auf dem eigenen Gelände befinden.</w:t>
      </w:r>
    </w:p>
    <w:p w14:paraId="29E5CA79" w14:textId="77777777" w:rsidR="00C579AA" w:rsidRPr="00C579AA" w:rsidRDefault="00C579AA" w:rsidP="00C579AA">
      <w:pPr>
        <w:pStyle w:val="Listenabsatz"/>
        <w:ind w:left="1440"/>
        <w:jc w:val="both"/>
        <w:rPr>
          <w:rFonts w:ascii="Verdana" w:hAnsi="Verdana"/>
          <w:sz w:val="22"/>
          <w:szCs w:val="22"/>
        </w:rPr>
      </w:pPr>
    </w:p>
    <w:p w14:paraId="6BFD9B9E" w14:textId="7EEBE321" w:rsidR="00C579AA" w:rsidRPr="00C579AA" w:rsidRDefault="008F59F2" w:rsidP="00C579AA">
      <w:pPr>
        <w:pStyle w:val="Listenabsatz"/>
        <w:numPr>
          <w:ilvl w:val="0"/>
          <w:numId w:val="1"/>
        </w:numPr>
        <w:jc w:val="both"/>
        <w:rPr>
          <w:rFonts w:ascii="Verdana" w:hAnsi="Verdana"/>
          <w:sz w:val="22"/>
          <w:szCs w:val="22"/>
        </w:rPr>
      </w:pPr>
      <w:r>
        <w:rPr>
          <w:rFonts w:ascii="Verdana" w:hAnsi="Verdana"/>
          <w:sz w:val="22"/>
          <w:szCs w:val="22"/>
        </w:rPr>
        <w:t>Unterstützung bei der Vereinzelung des radioaktiven Materials</w:t>
      </w:r>
    </w:p>
    <w:p w14:paraId="7B47F7E1" w14:textId="45E10BC4" w:rsidR="00C579AA" w:rsidRPr="00C579AA" w:rsidRDefault="008F59F2" w:rsidP="00C579AA">
      <w:pPr>
        <w:pStyle w:val="Listenabsatz"/>
        <w:numPr>
          <w:ilvl w:val="1"/>
          <w:numId w:val="1"/>
        </w:numPr>
        <w:jc w:val="both"/>
        <w:rPr>
          <w:rFonts w:ascii="Verdana" w:hAnsi="Verdana"/>
          <w:sz w:val="22"/>
          <w:szCs w:val="22"/>
        </w:rPr>
      </w:pPr>
      <w:r>
        <w:rPr>
          <w:rFonts w:ascii="Verdana" w:hAnsi="Verdana"/>
          <w:sz w:val="22"/>
          <w:szCs w:val="22"/>
        </w:rPr>
        <w:t>Überprüfen Sie ihre Gefährdungsbeurteilung daraufhin, ob Sie die zuständige Behörde beim Vereinzeln des Materials überhaupt mit eigenem Personal unterstützen dürfen.</w:t>
      </w:r>
    </w:p>
    <w:p w14:paraId="46CD53F0" w14:textId="5BC8DD7B" w:rsidR="00C579AA" w:rsidRDefault="008F59F2" w:rsidP="008F59F2">
      <w:pPr>
        <w:pStyle w:val="Listenabsatz"/>
        <w:numPr>
          <w:ilvl w:val="1"/>
          <w:numId w:val="1"/>
        </w:numPr>
        <w:jc w:val="both"/>
        <w:rPr>
          <w:rFonts w:ascii="Verdana" w:hAnsi="Verdana"/>
          <w:sz w:val="22"/>
          <w:szCs w:val="22"/>
        </w:rPr>
      </w:pPr>
      <w:r>
        <w:rPr>
          <w:rFonts w:ascii="Verdana" w:hAnsi="Verdana"/>
          <w:sz w:val="22"/>
          <w:szCs w:val="22"/>
        </w:rPr>
        <w:lastRenderedPageBreak/>
        <w:t>Vermeiden Sie es auf jeden Fall, das eigene Personal unbekannten Risiken auszusetzen.</w:t>
      </w:r>
    </w:p>
    <w:p w14:paraId="595A2FDC" w14:textId="77777777" w:rsidR="008F59F2" w:rsidRPr="008F59F2" w:rsidRDefault="008F59F2" w:rsidP="008F59F2">
      <w:pPr>
        <w:pStyle w:val="Listenabsatz"/>
        <w:ind w:left="1440"/>
        <w:jc w:val="both"/>
        <w:rPr>
          <w:rFonts w:ascii="Verdana" w:hAnsi="Verdana"/>
          <w:sz w:val="22"/>
          <w:szCs w:val="22"/>
        </w:rPr>
      </w:pPr>
    </w:p>
    <w:p w14:paraId="59ACE811" w14:textId="68F12551" w:rsidR="00C579AA" w:rsidRPr="00C579AA" w:rsidRDefault="00C579AA" w:rsidP="00C579AA">
      <w:pPr>
        <w:pStyle w:val="Listenabsatz"/>
        <w:numPr>
          <w:ilvl w:val="0"/>
          <w:numId w:val="1"/>
        </w:numPr>
        <w:jc w:val="both"/>
        <w:rPr>
          <w:rFonts w:ascii="Verdana" w:hAnsi="Verdana"/>
          <w:sz w:val="22"/>
          <w:szCs w:val="22"/>
        </w:rPr>
      </w:pPr>
      <w:r w:rsidRPr="00C579AA">
        <w:rPr>
          <w:rFonts w:ascii="Verdana" w:hAnsi="Verdana"/>
          <w:sz w:val="22"/>
          <w:szCs w:val="22"/>
        </w:rPr>
        <w:t xml:space="preserve">Eigentumsübergang </w:t>
      </w:r>
      <w:r w:rsidR="002151D7">
        <w:rPr>
          <w:rFonts w:ascii="Verdana" w:hAnsi="Verdana"/>
          <w:sz w:val="22"/>
          <w:szCs w:val="22"/>
        </w:rPr>
        <w:t xml:space="preserve">und „Erlangung der tatsächlichen Verfügungsgewalt“ </w:t>
      </w:r>
      <w:r w:rsidRPr="00C579AA">
        <w:rPr>
          <w:rFonts w:ascii="Verdana" w:hAnsi="Verdana"/>
          <w:sz w:val="22"/>
          <w:szCs w:val="22"/>
        </w:rPr>
        <w:t>vo</w:t>
      </w:r>
      <w:r w:rsidR="008F59F2">
        <w:rPr>
          <w:rFonts w:ascii="Verdana" w:hAnsi="Verdana"/>
          <w:sz w:val="22"/>
          <w:szCs w:val="22"/>
        </w:rPr>
        <w:t>n Anlieferungen mit radioaktivem Material</w:t>
      </w:r>
      <w:r w:rsidRPr="00C579AA">
        <w:rPr>
          <w:rFonts w:ascii="Verdana" w:hAnsi="Verdana"/>
          <w:sz w:val="22"/>
          <w:szCs w:val="22"/>
        </w:rPr>
        <w:t xml:space="preserve"> vermeiden</w:t>
      </w:r>
    </w:p>
    <w:p w14:paraId="594FC0AC" w14:textId="3B0D24D1" w:rsidR="00C579AA" w:rsidRPr="00C579AA" w:rsidRDefault="008F59F2" w:rsidP="00C579AA">
      <w:pPr>
        <w:pStyle w:val="Listenabsatz"/>
        <w:numPr>
          <w:ilvl w:val="1"/>
          <w:numId w:val="1"/>
        </w:numPr>
        <w:jc w:val="both"/>
        <w:rPr>
          <w:rFonts w:ascii="Verdana" w:hAnsi="Verdana"/>
          <w:sz w:val="22"/>
          <w:szCs w:val="22"/>
        </w:rPr>
      </w:pPr>
      <w:r>
        <w:rPr>
          <w:rFonts w:ascii="Verdana" w:hAnsi="Verdana"/>
          <w:sz w:val="22"/>
          <w:szCs w:val="22"/>
        </w:rPr>
        <w:t xml:space="preserve">Prüfen Sie, ob </w:t>
      </w:r>
      <w:r w:rsidR="00D76542">
        <w:rPr>
          <w:rFonts w:ascii="Verdana" w:hAnsi="Verdana"/>
          <w:sz w:val="22"/>
          <w:szCs w:val="22"/>
        </w:rPr>
        <w:t>es zum Zeitpunkt der Erkennung des radioaktiven Materials bereits zum Eigentumsübergang gekommen ist</w:t>
      </w:r>
      <w:r w:rsidR="00C579AA" w:rsidRPr="00C579AA">
        <w:rPr>
          <w:rFonts w:ascii="Verdana" w:hAnsi="Verdana"/>
          <w:sz w:val="22"/>
          <w:szCs w:val="22"/>
        </w:rPr>
        <w:t>.</w:t>
      </w:r>
    </w:p>
    <w:p w14:paraId="70A68175" w14:textId="5C32F619" w:rsidR="00221559" w:rsidRDefault="00221559" w:rsidP="007E7A62">
      <w:pPr>
        <w:jc w:val="both"/>
        <w:rPr>
          <w:rFonts w:ascii="Verdana" w:hAnsi="Verdana"/>
        </w:rPr>
      </w:pPr>
    </w:p>
    <w:p w14:paraId="424FD025" w14:textId="42B98BFE" w:rsidR="002151D7" w:rsidRPr="00C579AA" w:rsidRDefault="002151D7" w:rsidP="007E7A62">
      <w:pPr>
        <w:jc w:val="both"/>
        <w:rPr>
          <w:rFonts w:ascii="Verdana" w:hAnsi="Verdana"/>
        </w:rPr>
      </w:pPr>
      <w:r w:rsidRPr="002151D7">
        <w:rPr>
          <w:rFonts w:ascii="Verdana" w:hAnsi="Verdana"/>
        </w:rPr>
        <w:t xml:space="preserve">Bei den </w:t>
      </w:r>
      <w:r>
        <w:rPr>
          <w:rFonts w:ascii="Verdana" w:hAnsi="Verdana"/>
        </w:rPr>
        <w:t>dargestellten</w:t>
      </w:r>
      <w:r w:rsidRPr="002151D7">
        <w:rPr>
          <w:rFonts w:ascii="Verdana" w:hAnsi="Verdana"/>
        </w:rPr>
        <w:t xml:space="preserve"> Informationen handelt es sich um allgemeine Hinweise und unverbindliche Empfehlungen. Alle Informationen stammen aus vertrauenswürdigen Quellen und die Erstellung erfolgte mit angemessener Sorgfalt. Sie stellen keine rechtliche Beratung dar und können eine individuelle rechtliche Prüfung im Einzelfall nicht ersetzen. Für enthaltene Fehler, Ungenauigkeiten und/oder Versäumnisse jeglicher Art oder daraus resultierende Schäden kann die ITAD e.V. oder deren Beauftragte nicht verantwortlich gemacht werden, unabhängig von der Ursache. Die Verantwortung und das Risiko der Nutzung sämtlicher hier enthaltener Informationen sowie darauf basierende Entscheidungen liegen beim Nutzer.</w:t>
      </w:r>
    </w:p>
    <w:p w14:paraId="3EC15C1E" w14:textId="77777777" w:rsidR="009E3C59" w:rsidRPr="00C579AA" w:rsidRDefault="009E3C59" w:rsidP="00906CC8">
      <w:pPr>
        <w:jc w:val="both"/>
        <w:rPr>
          <w:rFonts w:ascii="Verdana" w:hAnsi="Verdana"/>
          <w:i/>
          <w:color w:val="808080" w:themeColor="background1" w:themeShade="80"/>
        </w:rPr>
      </w:pPr>
    </w:p>
    <w:sectPr w:rsidR="009E3C59" w:rsidRPr="00C579AA" w:rsidSect="0083659D">
      <w:headerReference w:type="even" r:id="rId12"/>
      <w:headerReference w:type="default" r:id="rId13"/>
      <w:footerReference w:type="even" r:id="rId14"/>
      <w:footerReference w:type="default" r:id="rId15"/>
      <w:headerReference w:type="first" r:id="rId16"/>
      <w:footerReference w:type="first" r:id="rId17"/>
      <w:pgSz w:w="11906" w:h="16838"/>
      <w:pgMar w:top="2269" w:right="3187" w:bottom="1134" w:left="1701" w:header="70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90F99" w14:textId="77777777" w:rsidR="00646AD3" w:rsidRDefault="00646AD3" w:rsidP="00221559">
      <w:pPr>
        <w:spacing w:after="0" w:line="240" w:lineRule="auto"/>
      </w:pPr>
      <w:r>
        <w:separator/>
      </w:r>
    </w:p>
  </w:endnote>
  <w:endnote w:type="continuationSeparator" w:id="0">
    <w:p w14:paraId="5B5C6E62" w14:textId="77777777" w:rsidR="00646AD3" w:rsidRDefault="00646AD3" w:rsidP="00221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inotype">
    <w:altName w:val="Calibri"/>
    <w:charset w:val="00"/>
    <w:family w:val="swiss"/>
    <w:pitch w:val="variable"/>
    <w:sig w:usb0="000000F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2F02" w14:textId="77777777" w:rsidR="009E0587" w:rsidRDefault="009E058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Y="15764"/>
      <w:tblOverlap w:val="never"/>
      <w:tblW w:w="0" w:type="auto"/>
      <w:tblCellMar>
        <w:left w:w="0" w:type="dxa"/>
        <w:right w:w="0" w:type="dxa"/>
      </w:tblCellMar>
      <w:tblLook w:val="01E0" w:firstRow="1" w:lastRow="1" w:firstColumn="1" w:lastColumn="1" w:noHBand="0" w:noVBand="0"/>
    </w:tblPr>
    <w:tblGrid>
      <w:gridCol w:w="3509"/>
      <w:gridCol w:w="3509"/>
    </w:tblGrid>
    <w:tr w:rsidR="00AB7018" w:rsidRPr="00AB7018" w14:paraId="2F852BA3" w14:textId="77777777" w:rsidTr="00A228A9">
      <w:tc>
        <w:tcPr>
          <w:tcW w:w="3515" w:type="dxa"/>
        </w:tcPr>
        <w:p w14:paraId="722417D9" w14:textId="77777777" w:rsidR="0083659D" w:rsidRPr="00AB7018" w:rsidRDefault="0083659D" w:rsidP="0083659D">
          <w:pPr>
            <w:spacing w:after="0" w:line="240" w:lineRule="auto"/>
            <w:rPr>
              <w:color w:val="98C210"/>
              <w:sz w:val="16"/>
              <w:szCs w:val="16"/>
              <w:u w:val="single"/>
            </w:rPr>
          </w:pPr>
          <w:r w:rsidRPr="00AB7018">
            <w:rPr>
              <w:color w:val="98C210"/>
              <w:sz w:val="16"/>
              <w:szCs w:val="16"/>
              <w:u w:val="single"/>
            </w:rPr>
            <w:t>weitere Informationen:</w:t>
          </w:r>
        </w:p>
        <w:p w14:paraId="6DB3D3BE" w14:textId="77777777" w:rsidR="0083659D" w:rsidRPr="00AB7018" w:rsidRDefault="0083659D" w:rsidP="0083659D">
          <w:pPr>
            <w:spacing w:after="0" w:line="240" w:lineRule="auto"/>
            <w:rPr>
              <w:color w:val="98C210"/>
              <w:sz w:val="16"/>
              <w:szCs w:val="16"/>
            </w:rPr>
          </w:pPr>
        </w:p>
        <w:p w14:paraId="26CF203A" w14:textId="77777777" w:rsidR="0083659D" w:rsidRPr="00AB7018" w:rsidRDefault="0083659D" w:rsidP="0083659D">
          <w:pPr>
            <w:spacing w:after="0" w:line="240" w:lineRule="auto"/>
            <w:rPr>
              <w:color w:val="98C210"/>
              <w:sz w:val="16"/>
              <w:szCs w:val="16"/>
            </w:rPr>
          </w:pPr>
          <w:r w:rsidRPr="00AB7018">
            <w:rPr>
              <w:color w:val="98C210"/>
              <w:sz w:val="16"/>
              <w:szCs w:val="16"/>
            </w:rPr>
            <w:t xml:space="preserve">Tel.: +49 (0) </w:t>
          </w:r>
          <w:r w:rsidR="00294772">
            <w:rPr>
              <w:color w:val="98C210"/>
              <w:sz w:val="16"/>
              <w:szCs w:val="16"/>
            </w:rPr>
            <w:t>211 93 67 609-0</w:t>
          </w:r>
        </w:p>
        <w:p w14:paraId="731422D0" w14:textId="77777777" w:rsidR="0083659D" w:rsidRDefault="00294772" w:rsidP="0083659D">
          <w:pPr>
            <w:spacing w:after="0" w:line="240" w:lineRule="auto"/>
            <w:rPr>
              <w:color w:val="98C210"/>
              <w:sz w:val="16"/>
              <w:szCs w:val="16"/>
            </w:rPr>
          </w:pPr>
          <w:r w:rsidRPr="00294772">
            <w:rPr>
              <w:color w:val="98C210"/>
              <w:sz w:val="16"/>
              <w:szCs w:val="16"/>
            </w:rPr>
            <w:t>info@itad.de</w:t>
          </w:r>
        </w:p>
        <w:p w14:paraId="66888C48" w14:textId="77777777" w:rsidR="00294772" w:rsidRPr="00AB7018" w:rsidRDefault="00294772" w:rsidP="0083659D">
          <w:pPr>
            <w:spacing w:after="0" w:line="240" w:lineRule="auto"/>
            <w:rPr>
              <w:color w:val="98C210"/>
              <w:sz w:val="16"/>
              <w:szCs w:val="16"/>
            </w:rPr>
          </w:pPr>
          <w:r w:rsidRPr="00AB7018">
            <w:rPr>
              <w:color w:val="98C210"/>
              <w:sz w:val="16"/>
              <w:szCs w:val="16"/>
            </w:rPr>
            <w:t>www.itad.de</w:t>
          </w:r>
        </w:p>
      </w:tc>
      <w:tc>
        <w:tcPr>
          <w:tcW w:w="3515" w:type="dxa"/>
        </w:tcPr>
        <w:p w14:paraId="1F7A96C7" w14:textId="77777777" w:rsidR="009E0587" w:rsidRPr="007E7A62" w:rsidRDefault="009E0587" w:rsidP="0083659D">
          <w:pPr>
            <w:spacing w:after="0" w:line="240" w:lineRule="auto"/>
            <w:rPr>
              <w:color w:val="98C210"/>
              <w:sz w:val="16"/>
              <w:szCs w:val="16"/>
              <w:lang w:val="en-GB"/>
            </w:rPr>
          </w:pPr>
        </w:p>
        <w:p w14:paraId="3CF703FE" w14:textId="77777777" w:rsidR="0083659D" w:rsidRPr="007E7A62" w:rsidRDefault="0083659D" w:rsidP="0083659D">
          <w:pPr>
            <w:spacing w:after="0" w:line="240" w:lineRule="auto"/>
            <w:rPr>
              <w:b/>
              <w:color w:val="98C210"/>
              <w:sz w:val="16"/>
              <w:szCs w:val="16"/>
              <w:lang w:val="en-GB"/>
            </w:rPr>
          </w:pPr>
          <w:r w:rsidRPr="007E7A62">
            <w:rPr>
              <w:b/>
              <w:color w:val="98C210"/>
              <w:sz w:val="16"/>
              <w:szCs w:val="16"/>
              <w:lang w:val="en-GB"/>
            </w:rPr>
            <w:t xml:space="preserve">ITAD </w:t>
          </w:r>
          <w:proofErr w:type="spellStart"/>
          <w:r w:rsidRPr="007E7A62">
            <w:rPr>
              <w:b/>
              <w:color w:val="98C210"/>
              <w:sz w:val="16"/>
              <w:szCs w:val="16"/>
              <w:lang w:val="en-GB"/>
            </w:rPr>
            <w:t>e.V</w:t>
          </w:r>
          <w:proofErr w:type="spellEnd"/>
        </w:p>
        <w:p w14:paraId="6B610DD9" w14:textId="77777777" w:rsidR="00294772" w:rsidRPr="007E7A62" w:rsidRDefault="00294772" w:rsidP="0083659D">
          <w:pPr>
            <w:spacing w:after="0" w:line="240" w:lineRule="auto"/>
            <w:rPr>
              <w:color w:val="98C210"/>
              <w:sz w:val="16"/>
              <w:szCs w:val="16"/>
              <w:lang w:val="en-GB"/>
            </w:rPr>
          </w:pPr>
          <w:r w:rsidRPr="007E7A62">
            <w:rPr>
              <w:color w:val="98C210"/>
              <w:sz w:val="16"/>
              <w:szCs w:val="16"/>
              <w:lang w:val="en-GB"/>
            </w:rPr>
            <w:t>Airport City</w:t>
          </w:r>
        </w:p>
        <w:p w14:paraId="055D313A" w14:textId="77777777" w:rsidR="0083659D" w:rsidRPr="007E7A62" w:rsidRDefault="00294772" w:rsidP="0083659D">
          <w:pPr>
            <w:spacing w:after="0" w:line="240" w:lineRule="auto"/>
            <w:rPr>
              <w:color w:val="98C210"/>
              <w:sz w:val="16"/>
              <w:szCs w:val="16"/>
              <w:lang w:val="en-GB"/>
            </w:rPr>
          </w:pPr>
          <w:r w:rsidRPr="007E7A62">
            <w:rPr>
              <w:color w:val="98C210"/>
              <w:sz w:val="16"/>
              <w:szCs w:val="16"/>
              <w:lang w:val="en-GB"/>
            </w:rPr>
            <w:t>Peter-Müller-</w:t>
          </w:r>
          <w:proofErr w:type="spellStart"/>
          <w:r w:rsidRPr="007E7A62">
            <w:rPr>
              <w:color w:val="98C210"/>
              <w:sz w:val="16"/>
              <w:szCs w:val="16"/>
              <w:lang w:val="en-GB"/>
            </w:rPr>
            <w:t>Straße</w:t>
          </w:r>
          <w:proofErr w:type="spellEnd"/>
          <w:r w:rsidRPr="007E7A62">
            <w:rPr>
              <w:color w:val="98C210"/>
              <w:sz w:val="16"/>
              <w:szCs w:val="16"/>
              <w:lang w:val="en-GB"/>
            </w:rPr>
            <w:t xml:space="preserve"> 16a</w:t>
          </w:r>
        </w:p>
        <w:p w14:paraId="6336270E" w14:textId="77777777" w:rsidR="0083659D" w:rsidRPr="00AB7018" w:rsidRDefault="00294772" w:rsidP="0083659D">
          <w:pPr>
            <w:spacing w:after="0" w:line="240" w:lineRule="auto"/>
            <w:rPr>
              <w:color w:val="98C210"/>
              <w:sz w:val="16"/>
              <w:szCs w:val="16"/>
            </w:rPr>
          </w:pPr>
          <w:r>
            <w:rPr>
              <w:color w:val="98C210"/>
              <w:sz w:val="16"/>
              <w:szCs w:val="16"/>
            </w:rPr>
            <w:t>40468 Düsseldorf</w:t>
          </w:r>
        </w:p>
      </w:tc>
    </w:tr>
  </w:tbl>
  <w:p w14:paraId="22E7E71B" w14:textId="77777777" w:rsidR="0083659D" w:rsidRDefault="0083659D">
    <w:pPr>
      <w:pStyle w:val="Fuzeile"/>
    </w:pPr>
    <w:r>
      <w:rPr>
        <w:noProof/>
        <w:lang w:eastAsia="de-DE"/>
      </w:rPr>
      <w:drawing>
        <wp:anchor distT="0" distB="0" distL="114300" distR="114300" simplePos="0" relativeHeight="251657216" behindDoc="1" locked="0" layoutInCell="1" allowOverlap="1" wp14:anchorId="608B2FE4" wp14:editId="56B91964">
          <wp:simplePos x="0" y="0"/>
          <wp:positionH relativeFrom="column">
            <wp:posOffset>7620</wp:posOffset>
          </wp:positionH>
          <wp:positionV relativeFrom="paragraph">
            <wp:posOffset>-96710</wp:posOffset>
          </wp:positionV>
          <wp:extent cx="4462145" cy="160655"/>
          <wp:effectExtent l="0" t="0" r="0" b="0"/>
          <wp:wrapNone/>
          <wp:docPr id="15" name="Bild 15" descr="tr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re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2145" cy="1606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894B" w14:textId="77777777" w:rsidR="009E0587" w:rsidRDefault="009E05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28822" w14:textId="77777777" w:rsidR="00646AD3" w:rsidRDefault="00646AD3" w:rsidP="00221559">
      <w:pPr>
        <w:spacing w:after="0" w:line="240" w:lineRule="auto"/>
      </w:pPr>
      <w:r>
        <w:separator/>
      </w:r>
    </w:p>
  </w:footnote>
  <w:footnote w:type="continuationSeparator" w:id="0">
    <w:p w14:paraId="771F8668" w14:textId="77777777" w:rsidR="00646AD3" w:rsidRDefault="00646AD3" w:rsidP="00221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1CD6" w14:textId="77777777" w:rsidR="009E0587" w:rsidRDefault="009E05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6ECD5" w14:textId="48C9DD8D" w:rsidR="00221559" w:rsidRDefault="00000000">
    <w:pPr>
      <w:pStyle w:val="Kopfzeile"/>
    </w:pPr>
    <w:sdt>
      <w:sdtPr>
        <w:id w:val="109717383"/>
        <w:docPartObj>
          <w:docPartGallery w:val="Watermarks"/>
          <w:docPartUnique/>
        </w:docPartObj>
      </w:sdtPr>
      <w:sdtContent>
        <w:r>
          <w:pict w14:anchorId="4E340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sdtContent>
    </w:sdt>
    <w:r w:rsidR="00427C59">
      <w:rPr>
        <w:noProof/>
        <w:lang w:eastAsia="de-DE"/>
      </w:rPr>
      <w:drawing>
        <wp:anchor distT="0" distB="0" distL="114300" distR="114300" simplePos="0" relativeHeight="251656192" behindDoc="0" locked="0" layoutInCell="1" allowOverlap="1" wp14:anchorId="26CFD37B" wp14:editId="0DF0D467">
          <wp:simplePos x="0" y="0"/>
          <wp:positionH relativeFrom="margin">
            <wp:align>left</wp:align>
          </wp:positionH>
          <wp:positionV relativeFrom="paragraph">
            <wp:posOffset>774065</wp:posOffset>
          </wp:positionV>
          <wp:extent cx="4464000" cy="162000"/>
          <wp:effectExtent l="0" t="0" r="0" b="9525"/>
          <wp:wrapNone/>
          <wp:docPr id="7" name="Bild 7" descr="tr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e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4000" cy="1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0587" w:rsidRPr="00C34709">
      <w:rPr>
        <w:noProof/>
        <w:lang w:eastAsia="de-DE"/>
      </w:rPr>
      <w:drawing>
        <wp:anchor distT="0" distB="0" distL="114300" distR="114300" simplePos="0" relativeHeight="251658240" behindDoc="1" locked="1" layoutInCell="1" allowOverlap="1" wp14:anchorId="6B11282A" wp14:editId="0C3ECEAB">
          <wp:simplePos x="0" y="0"/>
          <wp:positionH relativeFrom="page">
            <wp:align>right</wp:align>
          </wp:positionH>
          <wp:positionV relativeFrom="page">
            <wp:align>top</wp:align>
          </wp:positionV>
          <wp:extent cx="7559675" cy="1296670"/>
          <wp:effectExtent l="0" t="0" r="3175"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11111_bp_2"/>
                  <pic:cNvPicPr>
                    <a:picLocks noChangeAspect="1" noChangeArrowheads="1"/>
                  </pic:cNvPicPr>
                </pic:nvPicPr>
                <pic:blipFill rotWithShape="1">
                  <a:blip r:embed="rId2">
                    <a:extLst>
                      <a:ext uri="{28A0092B-C50C-407E-A947-70E740481C1C}">
                        <a14:useLocalDpi xmlns:a14="http://schemas.microsoft.com/office/drawing/2010/main" val="0"/>
                      </a:ext>
                    </a:extLst>
                  </a:blip>
                  <a:srcRect b="87855"/>
                  <a:stretch/>
                </pic:blipFill>
                <pic:spPr bwMode="auto">
                  <a:xfrm>
                    <a:off x="0" y="0"/>
                    <a:ext cx="7560000" cy="1297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4E55" w14:textId="77777777" w:rsidR="009E0587" w:rsidRDefault="009E05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003B4"/>
    <w:multiLevelType w:val="hybridMultilevel"/>
    <w:tmpl w:val="19D0930C"/>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2670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62"/>
    <w:rsid w:val="00023C2F"/>
    <w:rsid w:val="000C2FA0"/>
    <w:rsid w:val="00175871"/>
    <w:rsid w:val="001879A8"/>
    <w:rsid w:val="00194C72"/>
    <w:rsid w:val="001E4BF0"/>
    <w:rsid w:val="002151D7"/>
    <w:rsid w:val="00221559"/>
    <w:rsid w:val="00294772"/>
    <w:rsid w:val="0034033F"/>
    <w:rsid w:val="003A3521"/>
    <w:rsid w:val="0041680F"/>
    <w:rsid w:val="00427C59"/>
    <w:rsid w:val="00433D0A"/>
    <w:rsid w:val="00584788"/>
    <w:rsid w:val="005E5E56"/>
    <w:rsid w:val="00613712"/>
    <w:rsid w:val="00646AD3"/>
    <w:rsid w:val="006608D3"/>
    <w:rsid w:val="0076409F"/>
    <w:rsid w:val="007A6BEC"/>
    <w:rsid w:val="007E7A62"/>
    <w:rsid w:val="0083070A"/>
    <w:rsid w:val="0083659D"/>
    <w:rsid w:val="00840F52"/>
    <w:rsid w:val="00864729"/>
    <w:rsid w:val="008D26DF"/>
    <w:rsid w:val="008F3833"/>
    <w:rsid w:val="008F59F2"/>
    <w:rsid w:val="00906CC8"/>
    <w:rsid w:val="00980FB7"/>
    <w:rsid w:val="00994802"/>
    <w:rsid w:val="009E0587"/>
    <w:rsid w:val="009E3C59"/>
    <w:rsid w:val="009F4E4F"/>
    <w:rsid w:val="00A1105A"/>
    <w:rsid w:val="00A368E5"/>
    <w:rsid w:val="00AB7018"/>
    <w:rsid w:val="00BC7327"/>
    <w:rsid w:val="00BF64FD"/>
    <w:rsid w:val="00C2775D"/>
    <w:rsid w:val="00C579AA"/>
    <w:rsid w:val="00CA2EB1"/>
    <w:rsid w:val="00CE5620"/>
    <w:rsid w:val="00D76542"/>
    <w:rsid w:val="00D76AC1"/>
    <w:rsid w:val="00DF7DDD"/>
    <w:rsid w:val="00E1274D"/>
    <w:rsid w:val="00E14900"/>
    <w:rsid w:val="00E4334A"/>
    <w:rsid w:val="00E57436"/>
    <w:rsid w:val="00E878CE"/>
    <w:rsid w:val="00ED29DF"/>
    <w:rsid w:val="00F27EE0"/>
    <w:rsid w:val="00F65CEF"/>
    <w:rsid w:val="00FE551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9E49E"/>
  <w15:docId w15:val="{D8EB0EE8-445E-4FA7-B502-40FA1313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274D"/>
    <w:rPr>
      <w:rFonts w:ascii="Frutiger Linotype" w:hAnsi="Frutiger Linotyp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215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1559"/>
  </w:style>
  <w:style w:type="paragraph" w:styleId="Fuzeile">
    <w:name w:val="footer"/>
    <w:basedOn w:val="Standard"/>
    <w:link w:val="FuzeileZchn"/>
    <w:uiPriority w:val="99"/>
    <w:unhideWhenUsed/>
    <w:rsid w:val="002215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1559"/>
  </w:style>
  <w:style w:type="paragraph" w:styleId="Sprechblasentext">
    <w:name w:val="Balloon Text"/>
    <w:basedOn w:val="Standard"/>
    <w:link w:val="SprechblasentextZchn"/>
    <w:uiPriority w:val="99"/>
    <w:semiHidden/>
    <w:unhideWhenUsed/>
    <w:rsid w:val="0022155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1559"/>
    <w:rPr>
      <w:rFonts w:ascii="Tahoma" w:hAnsi="Tahoma" w:cs="Tahoma"/>
      <w:sz w:val="16"/>
      <w:szCs w:val="16"/>
    </w:rPr>
  </w:style>
  <w:style w:type="character" w:styleId="Hyperlink">
    <w:name w:val="Hyperlink"/>
    <w:basedOn w:val="Absatz-Standardschriftart"/>
    <w:uiPriority w:val="99"/>
    <w:unhideWhenUsed/>
    <w:rsid w:val="00294772"/>
    <w:rPr>
      <w:color w:val="0000FF" w:themeColor="hyperlink"/>
      <w:u w:val="single"/>
    </w:rPr>
  </w:style>
  <w:style w:type="paragraph" w:styleId="Listenabsatz">
    <w:name w:val="List Paragraph"/>
    <w:basedOn w:val="Standard"/>
    <w:uiPriority w:val="34"/>
    <w:qFormat/>
    <w:rsid w:val="00C579AA"/>
    <w:pPr>
      <w:spacing w:after="160" w:line="278" w:lineRule="auto"/>
      <w:ind w:left="720"/>
      <w:contextualSpacing/>
    </w:pPr>
    <w:rPr>
      <w:rFonts w:asciiTheme="minorHAnsi" w:hAnsiTheme="minorHAnsi"/>
      <w:kern w:val="2"/>
      <w:sz w:val="24"/>
      <w:szCs w:val="24"/>
      <w14:ligatures w14:val="standardContextual"/>
    </w:rPr>
  </w:style>
  <w:style w:type="character" w:styleId="Kommentarzeichen">
    <w:name w:val="annotation reference"/>
    <w:basedOn w:val="Absatz-Standardschriftart"/>
    <w:uiPriority w:val="99"/>
    <w:semiHidden/>
    <w:unhideWhenUsed/>
    <w:rsid w:val="00C579AA"/>
    <w:rPr>
      <w:sz w:val="16"/>
      <w:szCs w:val="16"/>
    </w:rPr>
  </w:style>
  <w:style w:type="paragraph" w:styleId="Kommentartext">
    <w:name w:val="annotation text"/>
    <w:basedOn w:val="Standard"/>
    <w:link w:val="KommentartextZchn"/>
    <w:uiPriority w:val="99"/>
    <w:unhideWhenUsed/>
    <w:rsid w:val="00C579AA"/>
    <w:pPr>
      <w:spacing w:after="160" w:line="240" w:lineRule="auto"/>
    </w:pPr>
    <w:rPr>
      <w:rFonts w:asciiTheme="minorHAnsi" w:hAnsiTheme="minorHAnsi"/>
      <w:kern w:val="2"/>
      <w:sz w:val="20"/>
      <w:szCs w:val="20"/>
      <w14:ligatures w14:val="standardContextual"/>
    </w:rPr>
  </w:style>
  <w:style w:type="character" w:customStyle="1" w:styleId="KommentartextZchn">
    <w:name w:val="Kommentartext Zchn"/>
    <w:basedOn w:val="Absatz-Standardschriftart"/>
    <w:link w:val="Kommentartext"/>
    <w:uiPriority w:val="99"/>
    <w:rsid w:val="00C579AA"/>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Schmidt\Documents\Radioaktivitaet\%5bFaktenblatt%5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c54339b-7076-4fc1-addd-49c7a5f740b9">S3VQATF42TXK-232149723-8414</_dlc_DocId>
    <_dlc_DocIdUrl xmlns="1c54339b-7076-4fc1-addd-49c7a5f740b9">
      <Url>https://itadduesseldorf.sharepoint.com/sites/ITAD/_layouts/15/DocIdRedir.aspx?ID=S3VQATF42TXK-232149723-8414</Url>
      <Description>S3VQATF42TXK-232149723-8414</Description>
    </_dlc_DocIdUrl>
    <TaxCatchAll xmlns="1c54339b-7076-4fc1-addd-49c7a5f740b9" xsi:nil="true"/>
    <lcf76f155ced4ddcb4097134ff3c332f xmlns="6301a7b7-c6e3-42ec-9cab-1c481372ab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6AB706E6EC8F940B3C65BBD951DA2C2" ma:contentTypeVersion="15" ma:contentTypeDescription="Ein neues Dokument erstellen." ma:contentTypeScope="" ma:versionID="0a418ae96a1292fa8c1ae15bbca18bce">
  <xsd:schema xmlns:xsd="http://www.w3.org/2001/XMLSchema" xmlns:xs="http://www.w3.org/2001/XMLSchema" xmlns:p="http://schemas.microsoft.com/office/2006/metadata/properties" xmlns:ns2="1c54339b-7076-4fc1-addd-49c7a5f740b9" xmlns:ns3="6301a7b7-c6e3-42ec-9cab-1c481372abb2" targetNamespace="http://schemas.microsoft.com/office/2006/metadata/properties" ma:root="true" ma:fieldsID="cfb757836b8327e0290af916af124f33" ns2:_="" ns3:_="">
    <xsd:import namespace="1c54339b-7076-4fc1-addd-49c7a5f740b9"/>
    <xsd:import namespace="6301a7b7-c6e3-42ec-9cab-1c481372ab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4339b-7076-4fc1-addd-49c7a5f740b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7bace07e-9521-4490-b745-1816015d8789}" ma:internalName="TaxCatchAll" ma:showField="CatchAllData" ma:web="1c54339b-7076-4fc1-addd-49c7a5f740b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1a7b7-c6e3-42ec-9cab-1c481372ab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9e0e3c6f-83ab-4d78-a871-e4bf835b6d1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3D4006-165A-4DD4-8038-BC3D0FE0BD75}">
  <ds:schemaRefs>
    <ds:schemaRef ds:uri="http://schemas.microsoft.com/sharepoint/v3/contenttype/forms"/>
  </ds:schemaRefs>
</ds:datastoreItem>
</file>

<file path=customXml/itemProps2.xml><?xml version="1.0" encoding="utf-8"?>
<ds:datastoreItem xmlns:ds="http://schemas.openxmlformats.org/officeDocument/2006/customXml" ds:itemID="{B0F310E6-03EC-456F-9859-89D853180561}">
  <ds:schemaRefs>
    <ds:schemaRef ds:uri="http://schemas.microsoft.com/office/2006/metadata/properties"/>
    <ds:schemaRef ds:uri="http://schemas.microsoft.com/office/infopath/2007/PartnerControls"/>
    <ds:schemaRef ds:uri="1c54339b-7076-4fc1-addd-49c7a5f740b9"/>
    <ds:schemaRef ds:uri="6301a7b7-c6e3-42ec-9cab-1c481372abb2"/>
  </ds:schemaRefs>
</ds:datastoreItem>
</file>

<file path=customXml/itemProps3.xml><?xml version="1.0" encoding="utf-8"?>
<ds:datastoreItem xmlns:ds="http://schemas.openxmlformats.org/officeDocument/2006/customXml" ds:itemID="{ECBDAB2C-FDF6-4141-8889-C1703386A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4339b-7076-4fc1-addd-49c7a5f740b9"/>
    <ds:schemaRef ds:uri="6301a7b7-c6e3-42ec-9cab-1c481372a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8944E-BCE2-470E-9181-DF02587FB9D2}">
  <ds:schemaRefs>
    <ds:schemaRef ds:uri="http://schemas.openxmlformats.org/officeDocument/2006/bibliography"/>
  </ds:schemaRefs>
</ds:datastoreItem>
</file>

<file path=customXml/itemProps5.xml><?xml version="1.0" encoding="utf-8"?>
<ds:datastoreItem xmlns:ds="http://schemas.openxmlformats.org/officeDocument/2006/customXml" ds:itemID="{4BD43B0D-CF70-4630-BB81-03FD9B2BC8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[Faktenblatt]</Template>
  <TotalTime>0</TotalTime>
  <Pages>4</Pages>
  <Words>786</Words>
  <Characters>4959</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Schmidt</dc:creator>
  <cp:lastModifiedBy>Martin Schmidt</cp:lastModifiedBy>
  <cp:revision>2</cp:revision>
  <dcterms:created xsi:type="dcterms:W3CDTF">2025-10-14T10:21:00Z</dcterms:created>
  <dcterms:modified xsi:type="dcterms:W3CDTF">2025-10-14T10:21:00Z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0x01010036AB706E6EC8F940B3C65BBD951DA2C2</vt:lpwstr>
  </property>
  <property fmtid="{D5CDD505-2E9C-101B-9397-08002B2CF9AE}" pid="3" name="_dlc_DocIdItemGuid">
    <vt:lpwstr>5377a96f-0a03-4350-882d-90dce6e46a63</vt:lpwstr>
  </property>
</Properties>
</file>