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ECA3" w14:textId="29AA6557" w:rsidR="006D6878" w:rsidRPr="00AE2868" w:rsidRDefault="006D6878" w:rsidP="00973AB7">
      <w:pPr>
        <w:spacing w:line="260" w:lineRule="exact"/>
        <w:jc w:val="right"/>
        <w:rPr>
          <w:rFonts w:ascii="Verdana" w:hAnsi="Verdana"/>
          <w:sz w:val="20"/>
        </w:rPr>
      </w:pPr>
      <w:r w:rsidRPr="00AE2868">
        <w:rPr>
          <w:rFonts w:ascii="Verdana" w:hAnsi="Verdana"/>
          <w:sz w:val="20"/>
        </w:rPr>
        <w:t xml:space="preserve">Duisburg, </w:t>
      </w:r>
      <w:r w:rsidR="000E24CF">
        <w:rPr>
          <w:rFonts w:ascii="Verdana" w:hAnsi="Verdana"/>
          <w:sz w:val="20"/>
        </w:rPr>
        <w:t>0</w:t>
      </w:r>
      <w:r w:rsidR="00711D36">
        <w:rPr>
          <w:rFonts w:ascii="Verdana" w:hAnsi="Verdana"/>
          <w:sz w:val="20"/>
        </w:rPr>
        <w:t>7</w:t>
      </w:r>
      <w:r w:rsidRPr="00AE2868">
        <w:rPr>
          <w:rFonts w:ascii="Verdana" w:hAnsi="Verdana"/>
          <w:sz w:val="20"/>
        </w:rPr>
        <w:t>.</w:t>
      </w:r>
      <w:r>
        <w:rPr>
          <w:rFonts w:ascii="Verdana" w:hAnsi="Verdana"/>
          <w:sz w:val="20"/>
        </w:rPr>
        <w:t>1</w:t>
      </w:r>
      <w:r w:rsidR="000E24CF">
        <w:rPr>
          <w:rFonts w:ascii="Verdana" w:hAnsi="Verdana"/>
          <w:sz w:val="20"/>
        </w:rPr>
        <w:t>1</w:t>
      </w:r>
      <w:r w:rsidRPr="00AE2868">
        <w:rPr>
          <w:rFonts w:ascii="Verdana" w:hAnsi="Verdana"/>
          <w:sz w:val="20"/>
        </w:rPr>
        <w:t>.2024</w:t>
      </w:r>
      <w:r>
        <w:rPr>
          <w:rFonts w:ascii="Verdana" w:hAnsi="Verdana"/>
          <w:sz w:val="20"/>
        </w:rPr>
        <w:br/>
      </w:r>
    </w:p>
    <w:p w14:paraId="084AEF80" w14:textId="50359682" w:rsidR="006D6878" w:rsidRPr="008E67AB" w:rsidRDefault="00FA4CFC" w:rsidP="00973AB7">
      <w:pPr>
        <w:spacing w:before="100" w:beforeAutospacing="1" w:after="100" w:afterAutospacing="1"/>
        <w:jc w:val="center"/>
        <w:rPr>
          <w:rFonts w:ascii="Verdana" w:hAnsi="Verdana"/>
          <w:b/>
          <w:bCs/>
          <w:sz w:val="20"/>
          <w:u w:val="single"/>
        </w:rPr>
      </w:pPr>
      <w:r>
        <w:rPr>
          <w:rFonts w:ascii="Verdana" w:hAnsi="Verdana"/>
          <w:b/>
          <w:bCs/>
          <w:sz w:val="24"/>
          <w:szCs w:val="24"/>
          <w:u w:val="single"/>
        </w:rPr>
        <w:t>Stellungnahme</w:t>
      </w:r>
    </w:p>
    <w:p w14:paraId="3DD2C383" w14:textId="77777777" w:rsidR="006D6878" w:rsidRDefault="006D6878" w:rsidP="00973AB7">
      <w:pPr>
        <w:spacing w:before="100" w:beforeAutospacing="1" w:after="100" w:afterAutospacing="1"/>
        <w:jc w:val="center"/>
        <w:rPr>
          <w:rFonts w:ascii="Verdana" w:hAnsi="Verdana"/>
          <w:b/>
          <w:bCs/>
          <w:szCs w:val="22"/>
        </w:rPr>
      </w:pPr>
      <w:r w:rsidRPr="000E24CF">
        <w:rPr>
          <w:rFonts w:ascii="Verdana" w:hAnsi="Verdana"/>
          <w:b/>
          <w:bCs/>
          <w:szCs w:val="22"/>
        </w:rPr>
        <w:t>Regulativer Anpassungsbedarf für Sekundärrohstoffe in Bauprodukten</w:t>
      </w:r>
    </w:p>
    <w:p w14:paraId="73766E87" w14:textId="77777777" w:rsidR="000E24CF" w:rsidRPr="000E24CF" w:rsidRDefault="000E24CF" w:rsidP="00973AB7">
      <w:pPr>
        <w:spacing w:before="100" w:beforeAutospacing="1" w:after="100" w:afterAutospacing="1"/>
        <w:jc w:val="center"/>
        <w:rPr>
          <w:rFonts w:ascii="Verdana" w:hAnsi="Verdana"/>
          <w:b/>
          <w:bCs/>
          <w:szCs w:val="22"/>
        </w:rPr>
      </w:pPr>
    </w:p>
    <w:p w14:paraId="506DB642" w14:textId="5ACB6B99" w:rsidR="00B247FA" w:rsidRPr="0058226D" w:rsidRDefault="0092555A" w:rsidP="006D6878">
      <w:pPr>
        <w:pStyle w:val="berschrift1"/>
        <w:ind w:left="0"/>
        <w:rPr>
          <w:sz w:val="24"/>
          <w:szCs w:val="24"/>
        </w:rPr>
      </w:pPr>
      <w:r w:rsidRPr="0058226D">
        <w:rPr>
          <w:sz w:val="24"/>
          <w:szCs w:val="24"/>
        </w:rPr>
        <w:t>Einleitung</w:t>
      </w:r>
    </w:p>
    <w:p w14:paraId="74381C00" w14:textId="069DA197" w:rsidR="004322B4" w:rsidRDefault="0017698D" w:rsidP="0017698D">
      <w:pPr>
        <w:spacing w:after="120"/>
        <w:rPr>
          <w:rFonts w:ascii="Verdana" w:hAnsi="Verdana"/>
          <w:sz w:val="20"/>
        </w:rPr>
      </w:pPr>
      <w:r w:rsidRPr="0017698D">
        <w:rPr>
          <w:rFonts w:ascii="Verdana" w:hAnsi="Verdana"/>
          <w:sz w:val="20"/>
        </w:rPr>
        <w:t xml:space="preserve">Die </w:t>
      </w:r>
      <w:r w:rsidRPr="00BE57B1">
        <w:rPr>
          <w:rFonts w:ascii="Verdana" w:hAnsi="Verdana"/>
          <w:sz w:val="20"/>
        </w:rPr>
        <w:t xml:space="preserve">Verwendung </w:t>
      </w:r>
      <w:r w:rsidRPr="00136E9B">
        <w:rPr>
          <w:rFonts w:ascii="Verdana" w:hAnsi="Verdana"/>
          <w:sz w:val="20"/>
        </w:rPr>
        <w:t>von Sekundärrohstoffen</w:t>
      </w:r>
      <w:r w:rsidR="002B3901">
        <w:rPr>
          <w:rFonts w:ascii="Verdana" w:hAnsi="Verdana"/>
          <w:sz w:val="20"/>
        </w:rPr>
        <w:t xml:space="preserve"> </w:t>
      </w:r>
      <w:r w:rsidR="00B73637">
        <w:rPr>
          <w:rFonts w:ascii="Verdana" w:hAnsi="Verdana"/>
          <w:sz w:val="20"/>
        </w:rPr>
        <w:t>i</w:t>
      </w:r>
      <w:r w:rsidRPr="00BE57B1">
        <w:rPr>
          <w:rFonts w:ascii="Verdana" w:hAnsi="Verdana"/>
          <w:sz w:val="20"/>
        </w:rPr>
        <w:t xml:space="preserve">m Bauwesen ist ein zentraler Baustein zur Erreichung der Ziele der Kreislaufwirtschaft und Ressourcenschonung. </w:t>
      </w:r>
      <w:r w:rsidR="004322B4" w:rsidRPr="004322B4">
        <w:rPr>
          <w:rFonts w:ascii="Verdana" w:hAnsi="Verdana"/>
          <w:sz w:val="20"/>
        </w:rPr>
        <w:t>Der gegenwärtige Regelungsrahmen</w:t>
      </w:r>
      <w:r w:rsidR="00B350A8">
        <w:rPr>
          <w:rFonts w:ascii="Verdana" w:hAnsi="Verdana"/>
          <w:sz w:val="20"/>
        </w:rPr>
        <w:t xml:space="preserve"> </w:t>
      </w:r>
      <w:r w:rsidR="004322B4" w:rsidRPr="004322B4">
        <w:rPr>
          <w:rFonts w:ascii="Verdana" w:hAnsi="Verdana"/>
          <w:sz w:val="20"/>
        </w:rPr>
        <w:t xml:space="preserve">für Bauprodukte basiert </w:t>
      </w:r>
      <w:r w:rsidR="00903F2B">
        <w:rPr>
          <w:rFonts w:ascii="Verdana" w:hAnsi="Verdana"/>
          <w:sz w:val="20"/>
        </w:rPr>
        <w:t xml:space="preserve">jedoch </w:t>
      </w:r>
      <w:r w:rsidR="004322B4" w:rsidRPr="004322B4">
        <w:rPr>
          <w:rFonts w:ascii="Verdana" w:hAnsi="Verdana"/>
          <w:sz w:val="20"/>
        </w:rPr>
        <w:t xml:space="preserve">auf nicht mehr zeitgemäßen Konzepten und steht im direkten Widerspruch zu den Prinzipien einer effektiven Kreislaufwirtschaft. </w:t>
      </w:r>
      <w:r w:rsidR="006C4F94" w:rsidRPr="006C4F94">
        <w:rPr>
          <w:rFonts w:ascii="Verdana" w:hAnsi="Verdana"/>
          <w:sz w:val="20"/>
        </w:rPr>
        <w:t xml:space="preserve">Die veralteteren Regelungen behindern den Einsatz sowohl von industriell hergestellten als auch rezyklierten Gesteinskörnungen in Bauprodukten und blockieren </w:t>
      </w:r>
      <w:r w:rsidR="00332708">
        <w:rPr>
          <w:rFonts w:ascii="Verdana" w:hAnsi="Verdana"/>
          <w:sz w:val="20"/>
        </w:rPr>
        <w:t xml:space="preserve">somit </w:t>
      </w:r>
      <w:r w:rsidR="006C4F94" w:rsidRPr="006C4F94">
        <w:rPr>
          <w:rFonts w:ascii="Verdana" w:hAnsi="Verdana"/>
          <w:sz w:val="20"/>
        </w:rPr>
        <w:t xml:space="preserve">die effektive Nutzung dieser Sekundärrohstoffe, </w:t>
      </w:r>
      <w:r w:rsidR="00332708">
        <w:rPr>
          <w:rFonts w:ascii="Verdana" w:hAnsi="Verdana"/>
          <w:sz w:val="20"/>
        </w:rPr>
        <w:t>auch wenn</w:t>
      </w:r>
      <w:r w:rsidR="006C4F94" w:rsidRPr="006C4F94">
        <w:rPr>
          <w:rFonts w:ascii="Verdana" w:hAnsi="Verdana"/>
          <w:sz w:val="20"/>
        </w:rPr>
        <w:t xml:space="preserve"> deren Umweltverträglichkeit nachgewiesen werden kann.</w:t>
      </w:r>
    </w:p>
    <w:p w14:paraId="3BBF973B" w14:textId="5EE9201D" w:rsidR="00E01FF5" w:rsidRPr="00BE57B1" w:rsidRDefault="001C68CF" w:rsidP="0017698D">
      <w:pPr>
        <w:spacing w:after="120"/>
        <w:rPr>
          <w:rFonts w:ascii="Verdana" w:hAnsi="Verdana"/>
          <w:sz w:val="20"/>
        </w:rPr>
      </w:pPr>
      <w:r w:rsidRPr="00F60382">
        <w:rPr>
          <w:rFonts w:ascii="Verdana" w:hAnsi="Verdana"/>
          <w:sz w:val="20"/>
        </w:rPr>
        <w:t xml:space="preserve">Zwischen den Bewertungssystemen </w:t>
      </w:r>
      <w:r w:rsidR="00E01FF5" w:rsidRPr="00F60382">
        <w:rPr>
          <w:rFonts w:ascii="Verdana" w:hAnsi="Verdana"/>
          <w:sz w:val="20"/>
        </w:rPr>
        <w:t>der Ersatzbaustoffverordnung (EBV)</w:t>
      </w:r>
      <w:r w:rsidR="0031744C" w:rsidRPr="00F60382">
        <w:rPr>
          <w:rFonts w:ascii="Verdana" w:hAnsi="Verdana"/>
          <w:sz w:val="20"/>
        </w:rPr>
        <w:t xml:space="preserve"> [</w:t>
      </w:r>
      <w:bookmarkStart w:id="0" w:name="_Ref176856588"/>
      <w:r w:rsidR="0031744C" w:rsidRPr="00F60382">
        <w:rPr>
          <w:rStyle w:val="Endnotenzeichen"/>
          <w:rFonts w:ascii="Verdana" w:hAnsi="Verdana"/>
          <w:sz w:val="20"/>
        </w:rPr>
        <w:endnoteReference w:id="2"/>
      </w:r>
      <w:bookmarkEnd w:id="0"/>
      <w:r w:rsidR="0031744C" w:rsidRPr="00F60382">
        <w:rPr>
          <w:rFonts w:ascii="Verdana" w:hAnsi="Verdana"/>
          <w:sz w:val="20"/>
        </w:rPr>
        <w:t>]</w:t>
      </w:r>
      <w:r w:rsidR="00E01FF5" w:rsidRPr="00F60382">
        <w:rPr>
          <w:rFonts w:ascii="Verdana" w:hAnsi="Verdana"/>
          <w:sz w:val="20"/>
        </w:rPr>
        <w:t>, die für den Verkehrswegebau gilt</w:t>
      </w:r>
      <w:r w:rsidR="009D5F80" w:rsidRPr="00F60382">
        <w:rPr>
          <w:rFonts w:ascii="Verdana" w:hAnsi="Verdana"/>
          <w:sz w:val="20"/>
        </w:rPr>
        <w:t xml:space="preserve"> und auf wissenschaftlich</w:t>
      </w:r>
      <w:r w:rsidR="00406403" w:rsidRPr="00F60382">
        <w:rPr>
          <w:rFonts w:ascii="Verdana" w:hAnsi="Verdana"/>
          <w:sz w:val="20"/>
        </w:rPr>
        <w:t xml:space="preserve"> fundiertem Fachkonzept des Umweltbundesamt</w:t>
      </w:r>
      <w:r w:rsidR="000F32ED" w:rsidRPr="00F60382">
        <w:rPr>
          <w:rFonts w:ascii="Verdana" w:hAnsi="Verdana"/>
          <w:sz w:val="20"/>
        </w:rPr>
        <w:t xml:space="preserve"> basiert</w:t>
      </w:r>
      <w:r w:rsidR="002F062A" w:rsidRPr="00F60382">
        <w:rPr>
          <w:rFonts w:ascii="Verdana" w:hAnsi="Verdana"/>
          <w:sz w:val="20"/>
        </w:rPr>
        <w:t xml:space="preserve"> [</w:t>
      </w:r>
      <w:bookmarkStart w:id="1" w:name="_Ref181780045"/>
      <w:r w:rsidR="002F062A" w:rsidRPr="00F60382">
        <w:rPr>
          <w:rStyle w:val="Endnotenzeichen"/>
          <w:rFonts w:ascii="Verdana" w:hAnsi="Verdana"/>
          <w:sz w:val="20"/>
        </w:rPr>
        <w:endnoteReference w:id="3"/>
      </w:r>
      <w:bookmarkEnd w:id="1"/>
      <w:r w:rsidR="002F062A" w:rsidRPr="00F60382">
        <w:rPr>
          <w:rFonts w:ascii="Verdana" w:hAnsi="Verdana"/>
          <w:sz w:val="20"/>
        </w:rPr>
        <w:t>]</w:t>
      </w:r>
      <w:r w:rsidR="00E01FF5" w:rsidRPr="00F60382">
        <w:rPr>
          <w:rFonts w:ascii="Verdana" w:hAnsi="Verdana"/>
          <w:sz w:val="20"/>
        </w:rPr>
        <w:t>, und dem</w:t>
      </w:r>
      <w:r w:rsidR="00F31AA5">
        <w:rPr>
          <w:rFonts w:ascii="Verdana" w:hAnsi="Verdana"/>
          <w:sz w:val="20"/>
        </w:rPr>
        <w:t xml:space="preserve"> </w:t>
      </w:r>
      <w:r w:rsidR="00E01FF5" w:rsidRPr="00F60382">
        <w:rPr>
          <w:rFonts w:ascii="Verdana" w:hAnsi="Verdana"/>
          <w:sz w:val="20"/>
        </w:rPr>
        <w:t>Anhang 10 der Muster-Verwaltungsvorschrift Technische Baubestimmungen (MVV TB) –</w:t>
      </w:r>
      <w:r w:rsidR="00921295" w:rsidRPr="00F60382">
        <w:rPr>
          <w:rFonts w:ascii="Verdana" w:hAnsi="Verdana"/>
          <w:sz w:val="20"/>
        </w:rPr>
        <w:t xml:space="preserve"> </w:t>
      </w:r>
      <w:r w:rsidR="00E01FF5" w:rsidRPr="00F60382">
        <w:rPr>
          <w:rFonts w:ascii="Verdana" w:hAnsi="Verdana"/>
          <w:sz w:val="20"/>
        </w:rPr>
        <w:t>den Anforderungen an bauliche Anlagen bezüglich der Auswirkungen auf Boden und Gewässer (</w:t>
      </w:r>
      <w:proofErr w:type="spellStart"/>
      <w:r w:rsidR="00E01FF5" w:rsidRPr="00F60382">
        <w:rPr>
          <w:rFonts w:ascii="Verdana" w:hAnsi="Verdana"/>
          <w:sz w:val="20"/>
        </w:rPr>
        <w:t>ABuG</w:t>
      </w:r>
      <w:proofErr w:type="spellEnd"/>
      <w:r w:rsidR="00E01FF5" w:rsidRPr="00F60382">
        <w:rPr>
          <w:rFonts w:ascii="Verdana" w:hAnsi="Verdana"/>
          <w:sz w:val="20"/>
        </w:rPr>
        <w:t>)</w:t>
      </w:r>
      <w:r w:rsidR="0031744C" w:rsidRPr="00F60382">
        <w:rPr>
          <w:rFonts w:ascii="Verdana" w:hAnsi="Verdana"/>
          <w:sz w:val="20"/>
        </w:rPr>
        <w:t xml:space="preserve"> [</w:t>
      </w:r>
      <w:bookmarkStart w:id="2" w:name="_Ref176856617"/>
      <w:r w:rsidR="0031744C" w:rsidRPr="00F60382">
        <w:rPr>
          <w:rStyle w:val="Endnotenzeichen"/>
          <w:rFonts w:ascii="Verdana" w:hAnsi="Verdana"/>
          <w:sz w:val="20"/>
        </w:rPr>
        <w:endnoteReference w:id="4"/>
      </w:r>
      <w:bookmarkEnd w:id="2"/>
      <w:r w:rsidR="0031744C" w:rsidRPr="00F60382">
        <w:rPr>
          <w:rFonts w:ascii="Verdana" w:hAnsi="Verdana"/>
          <w:sz w:val="20"/>
        </w:rPr>
        <w:t>]</w:t>
      </w:r>
      <w:r w:rsidR="00E01FF5" w:rsidRPr="00F60382">
        <w:rPr>
          <w:rFonts w:ascii="Verdana" w:hAnsi="Verdana"/>
          <w:sz w:val="20"/>
        </w:rPr>
        <w:t xml:space="preserve"> – </w:t>
      </w:r>
      <w:r w:rsidR="009144E7" w:rsidRPr="00F60382">
        <w:rPr>
          <w:rFonts w:ascii="Verdana" w:hAnsi="Verdana"/>
          <w:sz w:val="20"/>
        </w:rPr>
        <w:t>besteht eine Diskrepanz</w:t>
      </w:r>
      <w:r w:rsidR="000F32ED" w:rsidRPr="00F60382">
        <w:rPr>
          <w:rFonts w:ascii="Verdana" w:hAnsi="Verdana"/>
          <w:sz w:val="20"/>
        </w:rPr>
        <w:t xml:space="preserve">. Sie führt </w:t>
      </w:r>
      <w:r w:rsidR="00E01FF5" w:rsidRPr="00F60382">
        <w:rPr>
          <w:rFonts w:ascii="Verdana" w:hAnsi="Verdana"/>
          <w:sz w:val="20"/>
        </w:rPr>
        <w:t>zu einer paradoxen Situation</w:t>
      </w:r>
      <w:r w:rsidR="000F32ED" w:rsidRPr="00F60382">
        <w:rPr>
          <w:rFonts w:ascii="Verdana" w:hAnsi="Verdana"/>
          <w:sz w:val="20"/>
        </w:rPr>
        <w:t>:</w:t>
      </w:r>
      <w:r w:rsidR="00E01FF5" w:rsidRPr="00BE57B1">
        <w:rPr>
          <w:rFonts w:ascii="Verdana" w:hAnsi="Verdana"/>
          <w:sz w:val="20"/>
        </w:rPr>
        <w:t xml:space="preserve"> Dasselbe Material </w:t>
      </w:r>
      <w:r w:rsidR="0054369A">
        <w:rPr>
          <w:rFonts w:ascii="Verdana" w:hAnsi="Verdana"/>
          <w:sz w:val="20"/>
        </w:rPr>
        <w:t>kommt</w:t>
      </w:r>
      <w:r w:rsidR="001C6868">
        <w:rPr>
          <w:rFonts w:ascii="Verdana" w:hAnsi="Verdana"/>
          <w:sz w:val="20"/>
        </w:rPr>
        <w:t xml:space="preserve"> im Verkehrswegebau</w:t>
      </w:r>
      <w:r w:rsidR="0054369A">
        <w:rPr>
          <w:rFonts w:ascii="Verdana" w:hAnsi="Verdana"/>
          <w:sz w:val="20"/>
        </w:rPr>
        <w:t xml:space="preserve"> sowohl in verschiedenen</w:t>
      </w:r>
      <w:r w:rsidR="00E01FF5" w:rsidRPr="00BE57B1">
        <w:rPr>
          <w:rFonts w:ascii="Verdana" w:hAnsi="Verdana"/>
          <w:sz w:val="20"/>
        </w:rPr>
        <w:t xml:space="preserve"> gebunden</w:t>
      </w:r>
      <w:r w:rsidR="00495286">
        <w:rPr>
          <w:rFonts w:ascii="Verdana" w:hAnsi="Verdana"/>
          <w:sz w:val="20"/>
        </w:rPr>
        <w:t>en</w:t>
      </w:r>
      <w:r w:rsidR="00E01FF5" w:rsidRPr="00BE57B1">
        <w:rPr>
          <w:rFonts w:ascii="Verdana" w:hAnsi="Verdana"/>
          <w:sz w:val="20"/>
        </w:rPr>
        <w:t xml:space="preserve"> als auch ungebunden</w:t>
      </w:r>
      <w:r w:rsidR="00495286">
        <w:rPr>
          <w:rFonts w:ascii="Verdana" w:hAnsi="Verdana"/>
          <w:sz w:val="20"/>
        </w:rPr>
        <w:t>en</w:t>
      </w:r>
      <w:r w:rsidR="0054369A">
        <w:rPr>
          <w:rFonts w:ascii="Verdana" w:hAnsi="Verdana"/>
          <w:sz w:val="20"/>
        </w:rPr>
        <w:t xml:space="preserve"> Anwendungen zum Einsatz</w:t>
      </w:r>
      <w:r w:rsidR="00E01FF5" w:rsidRPr="00BE57B1">
        <w:rPr>
          <w:rFonts w:ascii="Verdana" w:hAnsi="Verdana"/>
          <w:sz w:val="20"/>
        </w:rPr>
        <w:t xml:space="preserve">, wird jedoch </w:t>
      </w:r>
      <w:r w:rsidR="008F2957">
        <w:rPr>
          <w:rFonts w:ascii="Verdana" w:hAnsi="Verdana"/>
          <w:sz w:val="20"/>
        </w:rPr>
        <w:t>bei Bauprodukten</w:t>
      </w:r>
      <w:r w:rsidR="00E01FF5" w:rsidRPr="00BE57B1">
        <w:rPr>
          <w:rFonts w:ascii="Verdana" w:hAnsi="Verdana"/>
          <w:sz w:val="20"/>
        </w:rPr>
        <w:t xml:space="preserve"> aufgrund der </w:t>
      </w:r>
      <w:proofErr w:type="spellStart"/>
      <w:r w:rsidR="00E01FF5" w:rsidRPr="00BE57B1">
        <w:rPr>
          <w:rFonts w:ascii="Verdana" w:hAnsi="Verdana"/>
          <w:sz w:val="20"/>
        </w:rPr>
        <w:t>ABuG</w:t>
      </w:r>
      <w:proofErr w:type="spellEnd"/>
      <w:r w:rsidR="00E01FF5" w:rsidRPr="00BE57B1">
        <w:rPr>
          <w:rFonts w:ascii="Verdana" w:hAnsi="Verdana"/>
          <w:sz w:val="20"/>
        </w:rPr>
        <w:t xml:space="preserve">-Vorgaben als Bestandteil einer dichten Betonmatrix ausgeschlossen. </w:t>
      </w:r>
    </w:p>
    <w:p w14:paraId="6611C0AC" w14:textId="309FAA86" w:rsidR="00A21A3D" w:rsidRPr="00626641" w:rsidRDefault="00B27CED" w:rsidP="0017698D">
      <w:pPr>
        <w:spacing w:after="120"/>
        <w:rPr>
          <w:rFonts w:ascii="Verdana" w:hAnsi="Verdana"/>
          <w:sz w:val="20"/>
        </w:rPr>
      </w:pPr>
      <w:r w:rsidRPr="00B27CED">
        <w:rPr>
          <w:rFonts w:ascii="Verdana" w:hAnsi="Verdana"/>
          <w:sz w:val="20"/>
        </w:rPr>
        <w:t>Mit dem Auslaufen der Kohleverstromung und der anstehenden Transformation der Stahlindustrie hin zu CO</w:t>
      </w:r>
      <w:r w:rsidRPr="00CB4BCD">
        <w:rPr>
          <w:rFonts w:ascii="Verdana" w:hAnsi="Verdana"/>
          <w:sz w:val="20"/>
          <w:vertAlign w:val="subscript"/>
        </w:rPr>
        <w:t>2</w:t>
      </w:r>
      <w:r w:rsidRPr="00B27CED">
        <w:rPr>
          <w:rFonts w:ascii="Verdana" w:hAnsi="Verdana"/>
          <w:sz w:val="20"/>
        </w:rPr>
        <w:t>-freier Produktion und dem damit einhergehenden schrittweisen Verschwinden des konventionellen Hüttensands als CO</w:t>
      </w:r>
      <w:r w:rsidRPr="00CD0EB7">
        <w:rPr>
          <w:rFonts w:ascii="Verdana" w:hAnsi="Verdana"/>
          <w:sz w:val="20"/>
          <w:vertAlign w:val="subscript"/>
        </w:rPr>
        <w:t>2</w:t>
      </w:r>
      <w:r w:rsidRPr="00B27CED">
        <w:rPr>
          <w:rFonts w:ascii="Verdana" w:hAnsi="Verdana"/>
          <w:sz w:val="20"/>
        </w:rPr>
        <w:t xml:space="preserve">-armes Portlandzementklinkersubstitut </w:t>
      </w:r>
      <w:r w:rsidR="00116C5F">
        <w:rPr>
          <w:rFonts w:ascii="Verdana" w:hAnsi="Verdana"/>
          <w:sz w:val="20"/>
        </w:rPr>
        <w:t>wird der</w:t>
      </w:r>
      <w:r w:rsidR="00EA26B5">
        <w:rPr>
          <w:rFonts w:ascii="Verdana" w:hAnsi="Verdana"/>
          <w:sz w:val="20"/>
        </w:rPr>
        <w:t xml:space="preserve"> Bedarf an nachhaltigen </w:t>
      </w:r>
      <w:r w:rsidR="00D7750A">
        <w:rPr>
          <w:rFonts w:ascii="Verdana" w:hAnsi="Verdana"/>
          <w:sz w:val="20"/>
        </w:rPr>
        <w:t>Alternativen</w:t>
      </w:r>
      <w:r w:rsidR="009526CA">
        <w:rPr>
          <w:rFonts w:ascii="Verdana" w:hAnsi="Verdana"/>
          <w:sz w:val="20"/>
        </w:rPr>
        <w:t xml:space="preserve"> und der</w:t>
      </w:r>
      <w:r w:rsidR="001F2D9B">
        <w:rPr>
          <w:rFonts w:ascii="Verdana" w:hAnsi="Verdana"/>
          <w:sz w:val="20"/>
        </w:rPr>
        <w:t xml:space="preserve"> Einsatz bestimmter Sekundärrohstoffe zunehmende relevant. </w:t>
      </w:r>
      <w:r w:rsidR="00EA26B5">
        <w:rPr>
          <w:rFonts w:ascii="Verdana" w:hAnsi="Verdana"/>
          <w:sz w:val="20"/>
        </w:rPr>
        <w:t xml:space="preserve"> </w:t>
      </w:r>
      <w:r w:rsidRPr="00B27CED">
        <w:rPr>
          <w:rFonts w:ascii="Verdana" w:hAnsi="Verdana"/>
          <w:sz w:val="20"/>
        </w:rPr>
        <w:t>Die aktuellen Regelungen hemmen jedoch diese nachhaltige Entwicklung und behindern Innovationen i</w:t>
      </w:r>
      <w:r w:rsidR="00A21A3D">
        <w:rPr>
          <w:rFonts w:ascii="Verdana" w:hAnsi="Verdana"/>
          <w:sz w:val="20"/>
        </w:rPr>
        <w:t xml:space="preserve">n diesem Bereich. </w:t>
      </w:r>
      <w:r w:rsidR="00A21A3D" w:rsidRPr="00626641">
        <w:rPr>
          <w:rFonts w:ascii="Verdana" w:hAnsi="Verdana"/>
          <w:sz w:val="20"/>
        </w:rPr>
        <w:t xml:space="preserve">Stattdessen wird der Abbau natürlicher Rohstoffe fortgesetzt, was sowohl die </w:t>
      </w:r>
      <w:r w:rsidR="00A21A3D" w:rsidRPr="00626641">
        <w:rPr>
          <w:rFonts w:ascii="Verdana" w:hAnsi="Verdana"/>
          <w:sz w:val="20"/>
        </w:rPr>
        <w:lastRenderedPageBreak/>
        <w:t>natürlichen Ressourcen belastet als auch den CO₂-Fußabdruck des Bauens erhöht, da natürliche Gesteinskörnungen i. d. R. einen größeren Energie- und CO₂-Aufwand erfordern.</w:t>
      </w:r>
    </w:p>
    <w:p w14:paraId="67722950" w14:textId="7FD23DF6" w:rsidR="00085F69" w:rsidRDefault="00EC6F21" w:rsidP="0017698D">
      <w:pPr>
        <w:spacing w:after="120"/>
        <w:rPr>
          <w:rFonts w:ascii="Verdana" w:hAnsi="Verdana"/>
          <w:sz w:val="20"/>
        </w:rPr>
      </w:pPr>
      <w:r w:rsidRPr="00626641">
        <w:rPr>
          <w:rFonts w:ascii="Verdana" w:hAnsi="Verdana"/>
          <w:sz w:val="20"/>
        </w:rPr>
        <w:t>Wir</w:t>
      </w:r>
      <w:r w:rsidR="001B39E1" w:rsidRPr="00626641">
        <w:rPr>
          <w:rFonts w:ascii="Verdana" w:hAnsi="Verdana"/>
          <w:sz w:val="20"/>
        </w:rPr>
        <w:t xml:space="preserve"> </w:t>
      </w:r>
      <w:r w:rsidRPr="00626641">
        <w:rPr>
          <w:rFonts w:ascii="Verdana" w:hAnsi="Verdana"/>
          <w:sz w:val="20"/>
        </w:rPr>
        <w:t xml:space="preserve">fordern </w:t>
      </w:r>
      <w:r w:rsidR="001B39E1" w:rsidRPr="00626641">
        <w:rPr>
          <w:rFonts w:ascii="Verdana" w:hAnsi="Verdana"/>
          <w:sz w:val="20"/>
        </w:rPr>
        <w:t xml:space="preserve">daher </w:t>
      </w:r>
      <w:r w:rsidRPr="00626641">
        <w:rPr>
          <w:rFonts w:ascii="Verdana" w:hAnsi="Verdana"/>
          <w:sz w:val="20"/>
        </w:rPr>
        <w:t xml:space="preserve">dringend </w:t>
      </w:r>
      <w:r w:rsidR="001B39E1" w:rsidRPr="00626641">
        <w:rPr>
          <w:rFonts w:ascii="Verdana" w:hAnsi="Verdana"/>
          <w:sz w:val="20"/>
        </w:rPr>
        <w:t>eine Anpassung der bestehenden Regelungen</w:t>
      </w:r>
      <w:r w:rsidR="00611B9C" w:rsidRPr="00626641">
        <w:rPr>
          <w:rFonts w:ascii="Verdana" w:hAnsi="Verdana"/>
          <w:sz w:val="20"/>
        </w:rPr>
        <w:t xml:space="preserve"> der </w:t>
      </w:r>
      <w:proofErr w:type="spellStart"/>
      <w:r w:rsidR="00F650F3" w:rsidRPr="00626641">
        <w:rPr>
          <w:rFonts w:ascii="Verdana" w:hAnsi="Verdana"/>
          <w:sz w:val="20"/>
        </w:rPr>
        <w:t>ABuG</w:t>
      </w:r>
      <w:proofErr w:type="spellEnd"/>
      <w:r w:rsidR="001B39E1" w:rsidRPr="00626641">
        <w:rPr>
          <w:rFonts w:ascii="Verdana" w:hAnsi="Verdana"/>
          <w:sz w:val="20"/>
        </w:rPr>
        <w:t xml:space="preserve">, um die </w:t>
      </w:r>
      <w:r w:rsidR="00AD612A" w:rsidRPr="00626641">
        <w:rPr>
          <w:rFonts w:ascii="Verdana" w:hAnsi="Verdana"/>
          <w:sz w:val="20"/>
        </w:rPr>
        <w:t xml:space="preserve">verstärkte </w:t>
      </w:r>
      <w:r w:rsidR="001B39E1" w:rsidRPr="00626641">
        <w:rPr>
          <w:rFonts w:ascii="Verdana" w:hAnsi="Verdana"/>
          <w:sz w:val="20"/>
        </w:rPr>
        <w:t xml:space="preserve">Verwendung von </w:t>
      </w:r>
      <w:r w:rsidR="006A5FF6" w:rsidRPr="00626641">
        <w:rPr>
          <w:rFonts w:ascii="Verdana" w:hAnsi="Verdana"/>
          <w:sz w:val="20"/>
        </w:rPr>
        <w:t>Sekundärrohstoffen</w:t>
      </w:r>
      <w:r w:rsidR="001B39E1" w:rsidRPr="00626641">
        <w:rPr>
          <w:rFonts w:ascii="Verdana" w:hAnsi="Verdana"/>
          <w:sz w:val="20"/>
        </w:rPr>
        <w:t xml:space="preserve"> </w:t>
      </w:r>
      <w:r w:rsidR="008E727D" w:rsidRPr="00626641">
        <w:rPr>
          <w:rFonts w:ascii="Verdana" w:hAnsi="Verdana"/>
          <w:sz w:val="20"/>
        </w:rPr>
        <w:t>in Bauprodukten</w:t>
      </w:r>
      <w:r w:rsidR="001B39E1" w:rsidRPr="00626641">
        <w:rPr>
          <w:rFonts w:ascii="Verdana" w:hAnsi="Verdana"/>
          <w:sz w:val="20"/>
        </w:rPr>
        <w:t xml:space="preserve"> zu ermöglichen und damit die Ziele der Kreislaufwirtschaft zu fördern. </w:t>
      </w:r>
      <w:r w:rsidR="00085F69" w:rsidRPr="00626641">
        <w:rPr>
          <w:rFonts w:ascii="Verdana" w:hAnsi="Verdana"/>
          <w:sz w:val="20"/>
        </w:rPr>
        <w:t xml:space="preserve">Dies steht im Einklang mit der nationalen Kreislaufwirtschaftsstrategie </w:t>
      </w:r>
      <w:r w:rsidR="00032120" w:rsidRPr="00626641">
        <w:rPr>
          <w:rFonts w:ascii="Verdana" w:hAnsi="Verdana"/>
          <w:sz w:val="20"/>
        </w:rPr>
        <w:t>[</w:t>
      </w:r>
      <w:r w:rsidR="00032120" w:rsidRPr="00626641">
        <w:rPr>
          <w:rStyle w:val="Endnotenzeichen"/>
          <w:rFonts w:ascii="Verdana" w:hAnsi="Verdana"/>
          <w:sz w:val="20"/>
        </w:rPr>
        <w:endnoteReference w:id="5"/>
      </w:r>
      <w:r w:rsidR="00032120" w:rsidRPr="00626641">
        <w:rPr>
          <w:rFonts w:ascii="Verdana" w:hAnsi="Verdana"/>
          <w:sz w:val="20"/>
        </w:rPr>
        <w:t>]</w:t>
      </w:r>
      <w:r w:rsidR="007460E4">
        <w:rPr>
          <w:rFonts w:ascii="Verdana" w:hAnsi="Verdana"/>
          <w:sz w:val="20"/>
        </w:rPr>
        <w:t>, in der</w:t>
      </w:r>
      <w:r w:rsidR="00032120" w:rsidRPr="00626641">
        <w:rPr>
          <w:rFonts w:ascii="Verdana" w:hAnsi="Verdana"/>
          <w:sz w:val="20"/>
        </w:rPr>
        <w:t xml:space="preserve"> </w:t>
      </w:r>
      <w:r w:rsidR="00085F69" w:rsidRPr="00626641">
        <w:rPr>
          <w:rFonts w:ascii="Verdana" w:hAnsi="Verdana"/>
          <w:sz w:val="20"/>
        </w:rPr>
        <w:t>die Erarbeitung wissenschaftlicher Grundlagen für die sichere Verwendung von Recyclingbaustoffen</w:t>
      </w:r>
      <w:r w:rsidR="00085F69" w:rsidRPr="00085F69">
        <w:rPr>
          <w:rFonts w:ascii="Verdana" w:hAnsi="Verdana"/>
          <w:sz w:val="20"/>
        </w:rPr>
        <w:t xml:space="preserve"> im Hochbau sowie deren Definition als Abfallende </w:t>
      </w:r>
      <w:r w:rsidR="007460E4">
        <w:rPr>
          <w:rFonts w:ascii="Verdana" w:hAnsi="Verdana"/>
          <w:sz w:val="20"/>
        </w:rPr>
        <w:t>ge</w:t>
      </w:r>
      <w:r w:rsidR="00085F69" w:rsidRPr="00085F69">
        <w:rPr>
          <w:rFonts w:ascii="Verdana" w:hAnsi="Verdana"/>
          <w:sz w:val="20"/>
        </w:rPr>
        <w:t>fordert</w:t>
      </w:r>
      <w:r w:rsidR="007460E4">
        <w:rPr>
          <w:rFonts w:ascii="Verdana" w:hAnsi="Verdana"/>
          <w:sz w:val="20"/>
        </w:rPr>
        <w:t xml:space="preserve"> wird</w:t>
      </w:r>
      <w:r w:rsidR="00085F69" w:rsidRPr="00085F69">
        <w:rPr>
          <w:rFonts w:ascii="Verdana" w:hAnsi="Verdana"/>
          <w:sz w:val="20"/>
        </w:rPr>
        <w:t>.</w:t>
      </w:r>
    </w:p>
    <w:p w14:paraId="2B2F2C51" w14:textId="464A428D" w:rsidR="005359DD" w:rsidRDefault="00EC6F21" w:rsidP="0017698D">
      <w:pPr>
        <w:spacing w:after="120"/>
        <w:rPr>
          <w:rFonts w:ascii="Verdana" w:hAnsi="Verdana"/>
          <w:sz w:val="20"/>
        </w:rPr>
      </w:pPr>
      <w:r w:rsidRPr="00BE57B1">
        <w:rPr>
          <w:rFonts w:ascii="Verdana" w:hAnsi="Verdana"/>
          <w:sz w:val="20"/>
        </w:rPr>
        <w:t xml:space="preserve">Im Folgenden </w:t>
      </w:r>
      <w:r w:rsidR="001B39E1" w:rsidRPr="00BE57B1">
        <w:rPr>
          <w:rFonts w:ascii="Verdana" w:hAnsi="Verdana"/>
          <w:sz w:val="20"/>
        </w:rPr>
        <w:t xml:space="preserve">werden </w:t>
      </w:r>
      <w:r w:rsidR="005359DD" w:rsidRPr="00BE57B1">
        <w:rPr>
          <w:rFonts w:ascii="Verdana" w:hAnsi="Verdana"/>
          <w:sz w:val="20"/>
        </w:rPr>
        <w:t xml:space="preserve">die wesentlichen Hintergründe zur derzeitigen Situation </w:t>
      </w:r>
      <w:r w:rsidRPr="00BE57B1">
        <w:rPr>
          <w:rFonts w:ascii="Verdana" w:hAnsi="Verdana"/>
          <w:sz w:val="20"/>
        </w:rPr>
        <w:t xml:space="preserve">erläutert </w:t>
      </w:r>
      <w:r w:rsidR="007E69C2" w:rsidRPr="00BE57B1">
        <w:rPr>
          <w:rFonts w:ascii="Verdana" w:hAnsi="Verdana"/>
          <w:sz w:val="20"/>
        </w:rPr>
        <w:t xml:space="preserve">und konkrete Handlungsempfehlungen für eine Regelungsänderung </w:t>
      </w:r>
      <w:r w:rsidRPr="00BE57B1">
        <w:rPr>
          <w:rFonts w:ascii="Verdana" w:hAnsi="Verdana"/>
          <w:sz w:val="20"/>
        </w:rPr>
        <w:t>formulie</w:t>
      </w:r>
      <w:r w:rsidR="00123BB0">
        <w:rPr>
          <w:rFonts w:ascii="Verdana" w:hAnsi="Verdana"/>
          <w:sz w:val="20"/>
        </w:rPr>
        <w:t>r</w:t>
      </w:r>
      <w:r w:rsidR="00495286">
        <w:rPr>
          <w:rFonts w:ascii="Verdana" w:hAnsi="Verdana"/>
          <w:sz w:val="20"/>
        </w:rPr>
        <w:t>t</w:t>
      </w:r>
      <w:r w:rsidR="004A33BF">
        <w:rPr>
          <w:rFonts w:ascii="Verdana" w:hAnsi="Verdana"/>
          <w:sz w:val="20"/>
        </w:rPr>
        <w:t>.</w:t>
      </w:r>
    </w:p>
    <w:p w14:paraId="125D8762" w14:textId="77777777" w:rsidR="004A33BF" w:rsidRDefault="004A33BF" w:rsidP="0017698D">
      <w:pPr>
        <w:spacing w:after="120"/>
        <w:rPr>
          <w:rFonts w:ascii="Verdana" w:hAnsi="Verdana"/>
          <w:sz w:val="20"/>
        </w:rPr>
      </w:pPr>
    </w:p>
    <w:p w14:paraId="35E2D289" w14:textId="037504A7" w:rsidR="005359DD" w:rsidRPr="0058226D" w:rsidRDefault="00A1053B" w:rsidP="0002090F">
      <w:pPr>
        <w:pStyle w:val="berschrift1"/>
        <w:ind w:left="0"/>
        <w:rPr>
          <w:sz w:val="24"/>
          <w:szCs w:val="24"/>
        </w:rPr>
      </w:pPr>
      <w:r w:rsidRPr="0058226D">
        <w:rPr>
          <w:sz w:val="24"/>
          <w:szCs w:val="24"/>
        </w:rPr>
        <w:t xml:space="preserve">Status Quo und bestehende Regelungen </w:t>
      </w:r>
    </w:p>
    <w:p w14:paraId="2C56BB33" w14:textId="101D12D0" w:rsidR="00474787" w:rsidRPr="00277FE6" w:rsidRDefault="00FB279B" w:rsidP="00025945">
      <w:pPr>
        <w:keepNext/>
        <w:widowControl w:val="0"/>
        <w:spacing w:after="120"/>
        <w:outlineLvl w:val="0"/>
        <w:rPr>
          <w:rFonts w:ascii="Verdana" w:hAnsi="Verdana"/>
          <w:sz w:val="20"/>
        </w:rPr>
      </w:pPr>
      <w:r w:rsidRPr="00277FE6">
        <w:rPr>
          <w:rFonts w:ascii="Verdana" w:hAnsi="Verdana"/>
          <w:sz w:val="20"/>
        </w:rPr>
        <w:t xml:space="preserve">Im Straßen-, Wege- und Wasserbau ist der Einsatz von vielen Sekundärrohstoffen seit langem etabliert. Die Umweltverträglichkeit dieser Materialien wird dabei anhand ihres </w:t>
      </w:r>
      <w:proofErr w:type="spellStart"/>
      <w:r w:rsidR="009E0704" w:rsidRPr="00277FE6">
        <w:rPr>
          <w:rFonts w:ascii="Verdana" w:hAnsi="Verdana"/>
          <w:sz w:val="20"/>
        </w:rPr>
        <w:t>Elutions</w:t>
      </w:r>
      <w:r w:rsidRPr="00277FE6">
        <w:rPr>
          <w:rFonts w:ascii="Verdana" w:hAnsi="Verdana"/>
          <w:sz w:val="20"/>
        </w:rPr>
        <w:t>verhaltens</w:t>
      </w:r>
      <w:proofErr w:type="spellEnd"/>
      <w:r w:rsidRPr="00277FE6">
        <w:rPr>
          <w:rFonts w:ascii="Verdana" w:hAnsi="Verdana"/>
          <w:sz w:val="20"/>
        </w:rPr>
        <w:t xml:space="preserve"> in der verwendeten </w:t>
      </w:r>
      <w:r w:rsidR="009E0704" w:rsidRPr="00277FE6">
        <w:rPr>
          <w:rFonts w:ascii="Verdana" w:hAnsi="Verdana"/>
          <w:sz w:val="20"/>
        </w:rPr>
        <w:t>Form</w:t>
      </w:r>
      <w:r w:rsidR="00D07BC7" w:rsidRPr="00277FE6">
        <w:rPr>
          <w:rFonts w:ascii="Verdana" w:hAnsi="Verdana"/>
          <w:sz w:val="20"/>
        </w:rPr>
        <w:t xml:space="preserve"> untersucht</w:t>
      </w:r>
      <w:r w:rsidR="009E0704" w:rsidRPr="00277FE6">
        <w:rPr>
          <w:rFonts w:ascii="Verdana" w:hAnsi="Verdana"/>
          <w:sz w:val="20"/>
        </w:rPr>
        <w:t xml:space="preserve"> </w:t>
      </w:r>
      <w:r w:rsidR="00025945" w:rsidRPr="00277FE6">
        <w:rPr>
          <w:rFonts w:ascii="Verdana" w:hAnsi="Verdana"/>
          <w:sz w:val="20"/>
        </w:rPr>
        <w:t>(seit dem 1. August 2023 gemäß EBV [</w:t>
      </w:r>
      <w:r w:rsidR="00F26104" w:rsidRPr="00277FE6">
        <w:rPr>
          <w:rFonts w:ascii="Verdana" w:hAnsi="Verdana"/>
          <w:sz w:val="20"/>
        </w:rPr>
        <w:fldChar w:fldCharType="begin"/>
      </w:r>
      <w:r w:rsidR="00F26104" w:rsidRPr="00277FE6">
        <w:rPr>
          <w:rFonts w:ascii="Verdana" w:hAnsi="Verdana"/>
          <w:sz w:val="20"/>
        </w:rPr>
        <w:instrText xml:space="preserve"> NOTEREF _Ref176856588 \h </w:instrText>
      </w:r>
      <w:r w:rsidR="00C05D03" w:rsidRPr="00277FE6">
        <w:rPr>
          <w:rFonts w:ascii="Verdana" w:hAnsi="Verdana"/>
          <w:sz w:val="20"/>
        </w:rPr>
        <w:instrText xml:space="preserve"> \* MERGEFORMAT </w:instrText>
      </w:r>
      <w:r w:rsidR="00F26104" w:rsidRPr="00277FE6">
        <w:rPr>
          <w:rFonts w:ascii="Verdana" w:hAnsi="Verdana"/>
          <w:sz w:val="20"/>
        </w:rPr>
      </w:r>
      <w:r w:rsidR="00F26104" w:rsidRPr="00277FE6">
        <w:rPr>
          <w:rFonts w:ascii="Verdana" w:hAnsi="Verdana"/>
          <w:sz w:val="20"/>
        </w:rPr>
        <w:fldChar w:fldCharType="separate"/>
      </w:r>
      <w:r w:rsidR="007460E4">
        <w:rPr>
          <w:rFonts w:ascii="Verdana" w:hAnsi="Verdana"/>
          <w:sz w:val="20"/>
        </w:rPr>
        <w:t>1</w:t>
      </w:r>
      <w:r w:rsidR="00F26104" w:rsidRPr="00277FE6">
        <w:rPr>
          <w:rFonts w:ascii="Verdana" w:hAnsi="Verdana"/>
          <w:sz w:val="20"/>
        </w:rPr>
        <w:fldChar w:fldCharType="end"/>
      </w:r>
      <w:r w:rsidR="00025945" w:rsidRPr="00277FE6">
        <w:rPr>
          <w:rFonts w:ascii="Verdana" w:hAnsi="Verdana"/>
          <w:sz w:val="20"/>
        </w:rPr>
        <w:t>], zuvor meist gemäß Mitteilung 20 der LAGA [</w:t>
      </w:r>
      <w:r w:rsidR="0047443A" w:rsidRPr="00277FE6">
        <w:rPr>
          <w:rStyle w:val="Endnotenzeichen"/>
          <w:rFonts w:ascii="Verdana" w:hAnsi="Verdana"/>
          <w:sz w:val="20"/>
        </w:rPr>
        <w:endnoteReference w:id="6"/>
      </w:r>
      <w:r w:rsidR="00025945" w:rsidRPr="00277FE6">
        <w:rPr>
          <w:rFonts w:ascii="Verdana" w:hAnsi="Verdana"/>
          <w:sz w:val="20"/>
        </w:rPr>
        <w:t>])</w:t>
      </w:r>
      <w:r w:rsidR="00CE0A5A" w:rsidRPr="00277FE6">
        <w:rPr>
          <w:rFonts w:ascii="Verdana" w:hAnsi="Verdana"/>
          <w:sz w:val="20"/>
        </w:rPr>
        <w:t>.</w:t>
      </w:r>
      <w:r w:rsidR="00025945" w:rsidRPr="00277FE6">
        <w:rPr>
          <w:rFonts w:ascii="Verdana" w:hAnsi="Verdana"/>
          <w:sz w:val="20"/>
        </w:rPr>
        <w:t xml:space="preserve"> </w:t>
      </w:r>
      <w:r w:rsidR="00C15B5B" w:rsidRPr="00277FE6">
        <w:rPr>
          <w:rFonts w:ascii="Verdana" w:hAnsi="Verdana"/>
          <w:sz w:val="20"/>
        </w:rPr>
        <w:t xml:space="preserve">Sowohl </w:t>
      </w:r>
      <w:r w:rsidR="00404697" w:rsidRPr="00277FE6">
        <w:rPr>
          <w:rFonts w:ascii="Verdana" w:hAnsi="Verdana"/>
          <w:sz w:val="20"/>
        </w:rPr>
        <w:t>das</w:t>
      </w:r>
      <w:r w:rsidR="00FA2FD8" w:rsidRPr="00277FE6">
        <w:rPr>
          <w:rFonts w:ascii="Verdana" w:hAnsi="Verdana"/>
          <w:sz w:val="20"/>
        </w:rPr>
        <w:t xml:space="preserve"> LAGA</w:t>
      </w:r>
      <w:r w:rsidR="00404697" w:rsidRPr="00277FE6">
        <w:rPr>
          <w:rFonts w:ascii="Verdana" w:hAnsi="Verdana"/>
          <w:sz w:val="20"/>
        </w:rPr>
        <w:t xml:space="preserve">-Regelwerk </w:t>
      </w:r>
      <w:r w:rsidR="002E3481" w:rsidRPr="00277FE6">
        <w:rPr>
          <w:rFonts w:ascii="Verdana" w:hAnsi="Verdana"/>
          <w:sz w:val="20"/>
        </w:rPr>
        <w:t xml:space="preserve">als auch die EBV </w:t>
      </w:r>
      <w:r w:rsidR="00910C32" w:rsidRPr="00277FE6">
        <w:rPr>
          <w:rFonts w:ascii="Verdana" w:hAnsi="Verdana"/>
          <w:sz w:val="20"/>
        </w:rPr>
        <w:t xml:space="preserve">sind so </w:t>
      </w:r>
      <w:r w:rsidR="005B6466" w:rsidRPr="00277FE6">
        <w:rPr>
          <w:rFonts w:ascii="Verdana" w:hAnsi="Verdana"/>
          <w:sz w:val="20"/>
        </w:rPr>
        <w:t>konzipiert</w:t>
      </w:r>
      <w:r w:rsidR="00910C32" w:rsidRPr="00277FE6">
        <w:rPr>
          <w:rFonts w:ascii="Verdana" w:hAnsi="Verdana"/>
          <w:sz w:val="20"/>
        </w:rPr>
        <w:t xml:space="preserve">, dass unter Berücksichtigung </w:t>
      </w:r>
      <w:r w:rsidR="002E3481" w:rsidRPr="00277FE6">
        <w:rPr>
          <w:rFonts w:ascii="Verdana" w:hAnsi="Verdana"/>
          <w:sz w:val="20"/>
        </w:rPr>
        <w:t xml:space="preserve">der jeweiligen Einbaubedingungen </w:t>
      </w:r>
      <w:r w:rsidR="005B6466" w:rsidRPr="00277FE6">
        <w:rPr>
          <w:rFonts w:ascii="Verdana" w:hAnsi="Verdana"/>
          <w:sz w:val="20"/>
        </w:rPr>
        <w:t>eine schadlose Verwendung des Materials gewährleistet ist</w:t>
      </w:r>
      <w:r w:rsidR="00732A9D" w:rsidRPr="00277FE6">
        <w:rPr>
          <w:rFonts w:ascii="Verdana" w:hAnsi="Verdana"/>
          <w:sz w:val="20"/>
        </w:rPr>
        <w:t xml:space="preserve">. </w:t>
      </w:r>
      <w:r w:rsidR="00474787" w:rsidRPr="00277FE6">
        <w:rPr>
          <w:rFonts w:ascii="Verdana" w:hAnsi="Verdana"/>
          <w:sz w:val="20"/>
        </w:rPr>
        <w:t xml:space="preserve">Die festgelegten Grenzwerte </w:t>
      </w:r>
      <w:r w:rsidR="00154814" w:rsidRPr="00277FE6">
        <w:rPr>
          <w:rFonts w:ascii="Verdana" w:hAnsi="Verdana"/>
          <w:sz w:val="20"/>
        </w:rPr>
        <w:t>bestimmen eindeutig die zulässigen</w:t>
      </w:r>
      <w:r w:rsidR="00474787" w:rsidRPr="00277FE6">
        <w:rPr>
          <w:rFonts w:ascii="Verdana" w:hAnsi="Verdana"/>
          <w:sz w:val="20"/>
        </w:rPr>
        <w:t xml:space="preserve"> Bauweisen</w:t>
      </w:r>
      <w:r w:rsidR="00637BBC" w:rsidRPr="00277FE6">
        <w:rPr>
          <w:rFonts w:ascii="Verdana" w:hAnsi="Verdana"/>
          <w:sz w:val="20"/>
        </w:rPr>
        <w:t xml:space="preserve"> und</w:t>
      </w:r>
      <w:r w:rsidR="00474787" w:rsidRPr="00277FE6">
        <w:rPr>
          <w:rFonts w:ascii="Verdana" w:hAnsi="Verdana"/>
          <w:sz w:val="20"/>
        </w:rPr>
        <w:t xml:space="preserve"> sorgen </w:t>
      </w:r>
      <w:r w:rsidR="00E53A66" w:rsidRPr="00277FE6">
        <w:rPr>
          <w:rFonts w:ascii="Verdana" w:hAnsi="Verdana"/>
          <w:sz w:val="20"/>
        </w:rPr>
        <w:t>damit</w:t>
      </w:r>
      <w:r w:rsidR="00637BBC" w:rsidRPr="00277FE6">
        <w:rPr>
          <w:rFonts w:ascii="Verdana" w:hAnsi="Verdana"/>
          <w:sz w:val="20"/>
        </w:rPr>
        <w:t xml:space="preserve"> </w:t>
      </w:r>
      <w:r w:rsidR="00474787" w:rsidRPr="00277FE6">
        <w:rPr>
          <w:rFonts w:ascii="Verdana" w:hAnsi="Verdana"/>
          <w:sz w:val="20"/>
        </w:rPr>
        <w:t>für einen sicheren Schutz von Boden und Grundwasser.</w:t>
      </w:r>
    </w:p>
    <w:p w14:paraId="48C8CEC7" w14:textId="7AF5DCD4" w:rsidR="004B5444" w:rsidRPr="00277FE6" w:rsidRDefault="001C1D5E" w:rsidP="008247DA">
      <w:pPr>
        <w:keepNext/>
        <w:widowControl w:val="0"/>
        <w:spacing w:after="120"/>
        <w:outlineLvl w:val="0"/>
        <w:rPr>
          <w:rFonts w:ascii="Verdana" w:hAnsi="Verdana"/>
          <w:sz w:val="20"/>
        </w:rPr>
      </w:pPr>
      <w:r w:rsidRPr="00277FE6">
        <w:rPr>
          <w:rFonts w:ascii="Verdana" w:hAnsi="Verdana"/>
          <w:sz w:val="20"/>
        </w:rPr>
        <w:t>Für Bauprodukte</w:t>
      </w:r>
      <w:r w:rsidR="00025945" w:rsidRPr="00277FE6">
        <w:rPr>
          <w:rFonts w:ascii="Verdana" w:hAnsi="Verdana"/>
          <w:sz w:val="20"/>
        </w:rPr>
        <w:t xml:space="preserve"> </w:t>
      </w:r>
      <w:r w:rsidR="009D473C" w:rsidRPr="00277FE6">
        <w:rPr>
          <w:rFonts w:ascii="Verdana" w:hAnsi="Verdana"/>
          <w:sz w:val="20"/>
        </w:rPr>
        <w:t xml:space="preserve">hingegen </w:t>
      </w:r>
      <w:r w:rsidR="00025945" w:rsidRPr="00277FE6">
        <w:rPr>
          <w:rFonts w:ascii="Verdana" w:hAnsi="Verdana"/>
          <w:sz w:val="20"/>
        </w:rPr>
        <w:t xml:space="preserve">werden </w:t>
      </w:r>
      <w:r w:rsidR="00D67EF1" w:rsidRPr="00277FE6">
        <w:rPr>
          <w:rFonts w:ascii="Verdana" w:hAnsi="Verdana"/>
          <w:sz w:val="20"/>
        </w:rPr>
        <w:t xml:space="preserve">für die Verwendung der Sekundärrohstoffe als Gesteinskörnung in Beton gemäß </w:t>
      </w:r>
      <w:proofErr w:type="spellStart"/>
      <w:r w:rsidR="00D67EF1" w:rsidRPr="00277FE6">
        <w:rPr>
          <w:rFonts w:ascii="Verdana" w:hAnsi="Verdana"/>
          <w:sz w:val="20"/>
        </w:rPr>
        <w:t>ABuG</w:t>
      </w:r>
      <w:proofErr w:type="spellEnd"/>
      <w:r w:rsidR="00D67EF1" w:rsidRPr="00277FE6">
        <w:rPr>
          <w:rFonts w:ascii="Verdana" w:hAnsi="Verdana"/>
          <w:sz w:val="20"/>
        </w:rPr>
        <w:t xml:space="preserve"> </w:t>
      </w:r>
      <w:r w:rsidR="000C62D6" w:rsidRPr="00277FE6">
        <w:rPr>
          <w:rFonts w:ascii="Verdana" w:hAnsi="Verdana"/>
          <w:sz w:val="20"/>
        </w:rPr>
        <w:t>[</w:t>
      </w:r>
      <w:r w:rsidR="000C62D6" w:rsidRPr="00277FE6">
        <w:rPr>
          <w:rFonts w:ascii="Verdana" w:hAnsi="Verdana"/>
          <w:sz w:val="20"/>
        </w:rPr>
        <w:fldChar w:fldCharType="begin"/>
      </w:r>
      <w:r w:rsidR="000C62D6" w:rsidRPr="00277FE6">
        <w:rPr>
          <w:rFonts w:ascii="Verdana" w:hAnsi="Verdana"/>
          <w:sz w:val="20"/>
        </w:rPr>
        <w:instrText xml:space="preserve"> NOTEREF _Ref176856617 \h </w:instrText>
      </w:r>
      <w:r w:rsidR="00277FE6" w:rsidRPr="00277FE6">
        <w:rPr>
          <w:rFonts w:ascii="Verdana" w:hAnsi="Verdana"/>
          <w:sz w:val="20"/>
        </w:rPr>
        <w:instrText xml:space="preserve"> \* MERGEFORMAT </w:instrText>
      </w:r>
      <w:r w:rsidR="000C62D6" w:rsidRPr="00277FE6">
        <w:rPr>
          <w:rFonts w:ascii="Verdana" w:hAnsi="Verdana"/>
          <w:sz w:val="20"/>
        </w:rPr>
      </w:r>
      <w:r w:rsidR="000C62D6" w:rsidRPr="00277FE6">
        <w:rPr>
          <w:rFonts w:ascii="Verdana" w:hAnsi="Verdana"/>
          <w:sz w:val="20"/>
        </w:rPr>
        <w:fldChar w:fldCharType="separate"/>
      </w:r>
      <w:r w:rsidR="007460E4">
        <w:rPr>
          <w:rFonts w:ascii="Verdana" w:hAnsi="Verdana"/>
          <w:sz w:val="20"/>
        </w:rPr>
        <w:t>3</w:t>
      </w:r>
      <w:r w:rsidR="000C62D6" w:rsidRPr="00277FE6">
        <w:rPr>
          <w:rFonts w:ascii="Verdana" w:hAnsi="Verdana"/>
          <w:sz w:val="20"/>
        </w:rPr>
        <w:fldChar w:fldCharType="end"/>
      </w:r>
      <w:r w:rsidR="000C62D6" w:rsidRPr="00277FE6">
        <w:rPr>
          <w:rFonts w:ascii="Verdana" w:hAnsi="Verdana"/>
          <w:sz w:val="20"/>
        </w:rPr>
        <w:t>]</w:t>
      </w:r>
      <w:r w:rsidR="00D67EF1" w:rsidRPr="00277FE6">
        <w:rPr>
          <w:rFonts w:ascii="Verdana" w:hAnsi="Verdana"/>
          <w:sz w:val="20"/>
        </w:rPr>
        <w:t xml:space="preserve"> </w:t>
      </w:r>
      <w:r w:rsidR="007F30A5" w:rsidRPr="00277FE6">
        <w:rPr>
          <w:rFonts w:ascii="Verdana" w:hAnsi="Verdana"/>
          <w:sz w:val="20"/>
        </w:rPr>
        <w:t xml:space="preserve">neben </w:t>
      </w:r>
      <w:r w:rsidR="004B5444" w:rsidRPr="00277FE6">
        <w:rPr>
          <w:rFonts w:ascii="Verdana" w:hAnsi="Verdana"/>
          <w:sz w:val="20"/>
        </w:rPr>
        <w:t xml:space="preserve">den </w:t>
      </w:r>
      <w:proofErr w:type="spellStart"/>
      <w:r w:rsidR="004B5444" w:rsidRPr="00277FE6">
        <w:rPr>
          <w:rFonts w:ascii="Verdana" w:hAnsi="Verdana"/>
          <w:sz w:val="20"/>
        </w:rPr>
        <w:t>Eluatgrenzwerten</w:t>
      </w:r>
      <w:proofErr w:type="spellEnd"/>
      <w:r w:rsidR="004B5444" w:rsidRPr="00277FE6">
        <w:rPr>
          <w:rFonts w:ascii="Verdana" w:hAnsi="Verdana"/>
          <w:sz w:val="20"/>
        </w:rPr>
        <w:t xml:space="preserve"> für das Bauprodukt Beton auch zusätzliche Anforderungen an die Einsatzstoffe gestellt, die sowohl Eluat- als auch Feststoffgrenzwerte umfassen.</w:t>
      </w:r>
      <w:r w:rsidR="00283A8A" w:rsidRPr="00277FE6">
        <w:rPr>
          <w:rFonts w:ascii="Verdana" w:hAnsi="Verdana"/>
          <w:sz w:val="20"/>
        </w:rPr>
        <w:t xml:space="preserve"> Zudem kommen in </w:t>
      </w:r>
      <w:r w:rsidR="00B67562" w:rsidRPr="00277FE6">
        <w:rPr>
          <w:rFonts w:ascii="Verdana" w:hAnsi="Verdana"/>
          <w:sz w:val="20"/>
        </w:rPr>
        <w:t xml:space="preserve">den </w:t>
      </w:r>
      <w:proofErr w:type="spellStart"/>
      <w:r w:rsidR="00283A8A" w:rsidRPr="00277FE6">
        <w:rPr>
          <w:rFonts w:ascii="Verdana" w:hAnsi="Verdana"/>
          <w:sz w:val="20"/>
        </w:rPr>
        <w:t>ABuG</w:t>
      </w:r>
      <w:proofErr w:type="spellEnd"/>
      <w:r w:rsidR="00283A8A" w:rsidRPr="00277FE6">
        <w:rPr>
          <w:rFonts w:ascii="Verdana" w:hAnsi="Verdana"/>
          <w:sz w:val="20"/>
        </w:rPr>
        <w:t xml:space="preserve"> abweichende </w:t>
      </w:r>
      <w:proofErr w:type="spellStart"/>
      <w:r w:rsidR="00283A8A" w:rsidRPr="00277FE6">
        <w:rPr>
          <w:rFonts w:ascii="Verdana" w:hAnsi="Verdana"/>
          <w:sz w:val="20"/>
        </w:rPr>
        <w:t>Elutionsverfahren</w:t>
      </w:r>
      <w:proofErr w:type="spellEnd"/>
      <w:r w:rsidR="00283A8A" w:rsidRPr="00277FE6">
        <w:rPr>
          <w:rFonts w:ascii="Verdana" w:hAnsi="Verdana"/>
          <w:sz w:val="20"/>
        </w:rPr>
        <w:t xml:space="preserve"> zum Einsatz, was die Vergleichbarkeit der Ergebnisse </w:t>
      </w:r>
      <w:r w:rsidR="00D343CB" w:rsidRPr="00277FE6">
        <w:rPr>
          <w:rFonts w:ascii="Verdana" w:hAnsi="Verdana"/>
          <w:sz w:val="20"/>
        </w:rPr>
        <w:t xml:space="preserve">gemäß EBV und </w:t>
      </w:r>
      <w:proofErr w:type="spellStart"/>
      <w:r w:rsidR="00D343CB" w:rsidRPr="00277FE6">
        <w:rPr>
          <w:rFonts w:ascii="Verdana" w:hAnsi="Verdana"/>
          <w:sz w:val="20"/>
        </w:rPr>
        <w:t>ABuG</w:t>
      </w:r>
      <w:proofErr w:type="spellEnd"/>
      <w:r w:rsidR="00D343CB" w:rsidRPr="00277FE6">
        <w:rPr>
          <w:rFonts w:ascii="Verdana" w:hAnsi="Verdana"/>
          <w:sz w:val="20"/>
        </w:rPr>
        <w:t xml:space="preserve"> </w:t>
      </w:r>
      <w:r w:rsidR="00283A8A" w:rsidRPr="00277FE6">
        <w:rPr>
          <w:rFonts w:ascii="Verdana" w:hAnsi="Verdana"/>
          <w:sz w:val="20"/>
        </w:rPr>
        <w:t>erschwert</w:t>
      </w:r>
      <w:r w:rsidR="00A30BD6" w:rsidRPr="00277FE6">
        <w:rPr>
          <w:rFonts w:ascii="Verdana" w:hAnsi="Verdana"/>
          <w:sz w:val="20"/>
        </w:rPr>
        <w:t xml:space="preserve">. </w:t>
      </w:r>
      <w:r w:rsidR="00EC6F21" w:rsidRPr="00277FE6">
        <w:rPr>
          <w:rFonts w:ascii="Verdana" w:hAnsi="Verdana"/>
          <w:sz w:val="20"/>
        </w:rPr>
        <w:t xml:space="preserve">Materialien, von denen nicht vorab bekannt ist, wo sie später eingesetzt werden, müssen </w:t>
      </w:r>
      <w:r w:rsidR="00D343CB" w:rsidRPr="00277FE6">
        <w:rPr>
          <w:rFonts w:ascii="Verdana" w:hAnsi="Verdana"/>
          <w:sz w:val="20"/>
        </w:rPr>
        <w:t>nach</w:t>
      </w:r>
      <w:r w:rsidR="00EC6F21" w:rsidRPr="00277FE6">
        <w:rPr>
          <w:rFonts w:ascii="Verdana" w:hAnsi="Verdana"/>
          <w:sz w:val="20"/>
        </w:rPr>
        <w:t xml:space="preserve"> zwei </w:t>
      </w:r>
      <w:r w:rsidR="00D343CB" w:rsidRPr="00277FE6">
        <w:rPr>
          <w:rFonts w:ascii="Verdana" w:hAnsi="Verdana"/>
          <w:sz w:val="20"/>
        </w:rPr>
        <w:t>Bewertungssystemen</w:t>
      </w:r>
      <w:r w:rsidR="00EC6F21" w:rsidRPr="00277FE6">
        <w:rPr>
          <w:rFonts w:ascii="Verdana" w:hAnsi="Verdana"/>
          <w:sz w:val="20"/>
        </w:rPr>
        <w:t xml:space="preserve"> untersucht werden.</w:t>
      </w:r>
    </w:p>
    <w:p w14:paraId="3F8BB669" w14:textId="2980AD71" w:rsidR="00961AC4" w:rsidRPr="00277FE6" w:rsidRDefault="00961AC4" w:rsidP="008247DA">
      <w:pPr>
        <w:keepNext/>
        <w:widowControl w:val="0"/>
        <w:spacing w:after="120"/>
        <w:outlineLvl w:val="0"/>
        <w:rPr>
          <w:rFonts w:ascii="Verdana" w:hAnsi="Verdana"/>
          <w:sz w:val="20"/>
        </w:rPr>
      </w:pPr>
      <w:r w:rsidRPr="00277FE6">
        <w:rPr>
          <w:rFonts w:ascii="Verdana" w:hAnsi="Verdana"/>
          <w:sz w:val="20"/>
        </w:rPr>
        <w:t xml:space="preserve">Da viele Sekundärrohstoffe, auch solche, die gemäß EBV problemlos und sicher verwendet werden dürfen, die Feststoffgrenzwerte in Tabelle A-3 der </w:t>
      </w:r>
      <w:proofErr w:type="spellStart"/>
      <w:r w:rsidRPr="00277FE6">
        <w:rPr>
          <w:rFonts w:ascii="Verdana" w:hAnsi="Verdana"/>
          <w:sz w:val="20"/>
        </w:rPr>
        <w:t>ABuG</w:t>
      </w:r>
      <w:proofErr w:type="spellEnd"/>
      <w:r w:rsidRPr="00277FE6">
        <w:rPr>
          <w:rFonts w:ascii="Verdana" w:hAnsi="Verdana"/>
          <w:sz w:val="20"/>
        </w:rPr>
        <w:t xml:space="preserve"> überschreiten, werden sie von der Anwendung im Beton bzw. Zement ausgeschlossen, auch wenn die </w:t>
      </w:r>
      <w:proofErr w:type="spellStart"/>
      <w:r w:rsidRPr="00277FE6">
        <w:rPr>
          <w:rFonts w:ascii="Verdana" w:hAnsi="Verdana"/>
          <w:sz w:val="20"/>
        </w:rPr>
        <w:t>Eluatgrenzwerte</w:t>
      </w:r>
      <w:proofErr w:type="spellEnd"/>
      <w:r w:rsidRPr="00277FE6">
        <w:rPr>
          <w:rFonts w:ascii="Verdana" w:hAnsi="Verdana"/>
          <w:sz w:val="20"/>
        </w:rPr>
        <w:t xml:space="preserve"> sowohl der Gesteinskörnung als auch der damit hergestellten </w:t>
      </w:r>
      <w:proofErr w:type="gramStart"/>
      <w:r w:rsidRPr="00277FE6">
        <w:rPr>
          <w:rFonts w:ascii="Verdana" w:hAnsi="Verdana"/>
          <w:sz w:val="20"/>
        </w:rPr>
        <w:t>Betone</w:t>
      </w:r>
      <w:proofErr w:type="gramEnd"/>
      <w:r w:rsidRPr="00277FE6">
        <w:rPr>
          <w:rFonts w:ascii="Verdana" w:hAnsi="Verdana"/>
          <w:sz w:val="20"/>
        </w:rPr>
        <w:t xml:space="preserve"> </w:t>
      </w:r>
      <w:r w:rsidRPr="00277FE6">
        <w:rPr>
          <w:rFonts w:ascii="Verdana" w:hAnsi="Verdana"/>
          <w:sz w:val="20"/>
        </w:rPr>
        <w:lastRenderedPageBreak/>
        <w:t xml:space="preserve">eingehalten werden. </w:t>
      </w:r>
    </w:p>
    <w:p w14:paraId="343834E6" w14:textId="64FE16FA" w:rsidR="00DD71D4" w:rsidRPr="00277FE6" w:rsidRDefault="00BB5DA2" w:rsidP="008247DA">
      <w:pPr>
        <w:keepNext/>
        <w:widowControl w:val="0"/>
        <w:spacing w:after="120"/>
        <w:outlineLvl w:val="0"/>
        <w:rPr>
          <w:rFonts w:ascii="Verdana" w:hAnsi="Verdana"/>
          <w:sz w:val="20"/>
        </w:rPr>
      </w:pPr>
      <w:r w:rsidRPr="00277FE6">
        <w:rPr>
          <w:rFonts w:ascii="Verdana" w:hAnsi="Verdana"/>
          <w:sz w:val="20"/>
        </w:rPr>
        <w:t>Sowo</w:t>
      </w:r>
      <w:r w:rsidR="00B42B39" w:rsidRPr="00277FE6">
        <w:rPr>
          <w:rFonts w:ascii="Verdana" w:hAnsi="Verdana"/>
          <w:sz w:val="20"/>
        </w:rPr>
        <w:t>hl die</w:t>
      </w:r>
      <w:r w:rsidR="005F5EB4" w:rsidRPr="00277FE6">
        <w:rPr>
          <w:rFonts w:ascii="Verdana" w:hAnsi="Verdana"/>
          <w:sz w:val="20"/>
        </w:rPr>
        <w:t xml:space="preserve"> Eluat- </w:t>
      </w:r>
      <w:r w:rsidR="00B42B39" w:rsidRPr="00277FE6">
        <w:rPr>
          <w:rFonts w:ascii="Verdana" w:hAnsi="Verdana"/>
          <w:sz w:val="20"/>
        </w:rPr>
        <w:t>als auch die</w:t>
      </w:r>
      <w:r w:rsidR="005F5EB4" w:rsidRPr="00277FE6">
        <w:rPr>
          <w:rFonts w:ascii="Verdana" w:hAnsi="Verdana"/>
          <w:sz w:val="20"/>
        </w:rPr>
        <w:t xml:space="preserve"> Feststoffgrenzwerte für die Einsatzmaterialien </w:t>
      </w:r>
      <w:r w:rsidR="00B67562" w:rsidRPr="00277FE6">
        <w:rPr>
          <w:rFonts w:ascii="Verdana" w:hAnsi="Verdana"/>
          <w:sz w:val="20"/>
        </w:rPr>
        <w:t xml:space="preserve">in den </w:t>
      </w:r>
      <w:proofErr w:type="spellStart"/>
      <w:r w:rsidR="00B67562" w:rsidRPr="00277FE6">
        <w:rPr>
          <w:rFonts w:ascii="Verdana" w:hAnsi="Verdana"/>
          <w:sz w:val="20"/>
        </w:rPr>
        <w:t>ABuG</w:t>
      </w:r>
      <w:proofErr w:type="spellEnd"/>
      <w:r w:rsidR="00B67562" w:rsidRPr="00277FE6">
        <w:rPr>
          <w:rFonts w:ascii="Verdana" w:hAnsi="Verdana"/>
          <w:sz w:val="20"/>
        </w:rPr>
        <w:t xml:space="preserve"> </w:t>
      </w:r>
      <w:r w:rsidR="005F5EB4" w:rsidRPr="00277FE6">
        <w:rPr>
          <w:rFonts w:ascii="Verdana" w:hAnsi="Verdana"/>
          <w:sz w:val="20"/>
        </w:rPr>
        <w:t xml:space="preserve">basieren auf </w:t>
      </w:r>
      <w:r w:rsidR="00366202" w:rsidRPr="00277FE6">
        <w:rPr>
          <w:rFonts w:ascii="Verdana" w:hAnsi="Verdana"/>
          <w:sz w:val="20"/>
        </w:rPr>
        <w:t>Werten</w:t>
      </w:r>
      <w:r w:rsidR="005F5EB4" w:rsidRPr="00277FE6">
        <w:rPr>
          <w:rFonts w:ascii="Verdana" w:hAnsi="Verdana"/>
          <w:sz w:val="20"/>
        </w:rPr>
        <w:t xml:space="preserve"> der LAGA </w:t>
      </w:r>
      <w:r w:rsidR="009C4408" w:rsidRPr="00277FE6">
        <w:rPr>
          <w:rFonts w:ascii="Verdana" w:hAnsi="Verdana"/>
          <w:sz w:val="20"/>
        </w:rPr>
        <w:t>(s. Tabelle 3 des Anhangs 1 der Eckpunkte (EP) der LAGA für eine "Verordnung über die Verwertung von mineralischen Abfällen in technischen Bauwerken", Stand 31.08.2004) und entsprechen den Zuordnungswerten Z 2 aus den "Technischen Regeln für die Verwertung von Bodenmaterial - TR Boden" [</w:t>
      </w:r>
      <w:r w:rsidR="009C4408" w:rsidRPr="00277FE6">
        <w:rPr>
          <w:rFonts w:ascii="Verdana" w:hAnsi="Verdana"/>
          <w:sz w:val="20"/>
        </w:rPr>
        <w:endnoteReference w:id="7"/>
      </w:r>
      <w:r w:rsidR="009C4408" w:rsidRPr="00277FE6">
        <w:rPr>
          <w:rFonts w:ascii="Verdana" w:hAnsi="Verdana"/>
          <w:sz w:val="20"/>
        </w:rPr>
        <w:t xml:space="preserve">] für einen eingeschränkten Einbau mit definierten technischen Sicherungsmaßnahmen. </w:t>
      </w:r>
    </w:p>
    <w:p w14:paraId="443EE4E8" w14:textId="68A69A04" w:rsidR="00E90D9E" w:rsidRPr="00277FE6" w:rsidRDefault="00AF6CF6" w:rsidP="00D5551E">
      <w:pPr>
        <w:spacing w:after="120"/>
        <w:rPr>
          <w:rFonts w:ascii="Verdana" w:hAnsi="Verdana"/>
          <w:sz w:val="20"/>
        </w:rPr>
      </w:pPr>
      <w:r w:rsidRPr="00277FE6">
        <w:rPr>
          <w:rFonts w:ascii="Verdana" w:hAnsi="Verdana"/>
          <w:sz w:val="20"/>
        </w:rPr>
        <w:t>Der Bezug zu „</w:t>
      </w:r>
      <w:proofErr w:type="gramStart"/>
      <w:r w:rsidRPr="00277FE6">
        <w:rPr>
          <w:rFonts w:ascii="Verdana" w:hAnsi="Verdana"/>
          <w:sz w:val="20"/>
        </w:rPr>
        <w:t>TR Boden</w:t>
      </w:r>
      <w:proofErr w:type="gramEnd"/>
      <w:r w:rsidRPr="00277FE6">
        <w:rPr>
          <w:rFonts w:ascii="Verdana" w:hAnsi="Verdana"/>
          <w:sz w:val="20"/>
        </w:rPr>
        <w:t>“ ist</w:t>
      </w:r>
      <w:r w:rsidR="00ED6660" w:rsidRPr="00277FE6">
        <w:rPr>
          <w:rFonts w:ascii="Verdana" w:hAnsi="Verdana"/>
          <w:sz w:val="20"/>
        </w:rPr>
        <w:t xml:space="preserve"> </w:t>
      </w:r>
      <w:r w:rsidR="007460E4">
        <w:rPr>
          <w:rFonts w:ascii="Verdana" w:hAnsi="Verdana"/>
          <w:sz w:val="20"/>
        </w:rPr>
        <w:t>in diesem Zusammenhang falsch</w:t>
      </w:r>
      <w:r w:rsidRPr="00277FE6">
        <w:rPr>
          <w:rFonts w:ascii="Verdana" w:hAnsi="Verdana"/>
          <w:sz w:val="20"/>
        </w:rPr>
        <w:t>, da die erwähnten Materialien weder bodenähnlich sind noch in entsprechenden bodenähnlichen Anwendungen eingesetzt werden sollen.</w:t>
      </w:r>
      <w:r w:rsidR="00931D77" w:rsidRPr="00277FE6">
        <w:rPr>
          <w:rFonts w:ascii="Verdana" w:hAnsi="Verdana"/>
          <w:sz w:val="20"/>
        </w:rPr>
        <w:t xml:space="preserve"> </w:t>
      </w:r>
      <w:r w:rsidR="00E90D9E" w:rsidRPr="00277FE6">
        <w:rPr>
          <w:rFonts w:ascii="Verdana" w:hAnsi="Verdana"/>
          <w:sz w:val="20"/>
        </w:rPr>
        <w:t>Die Übernahme dieser Werte für den Einsatz in Bauprodukten basiert von vornherein nicht auf einem fachlich-wissenschaftlich fundierten Konzept.</w:t>
      </w:r>
      <w:r w:rsidR="000C4CEF" w:rsidRPr="00277FE6">
        <w:rPr>
          <w:rFonts w:ascii="Verdana" w:hAnsi="Verdana"/>
          <w:sz w:val="20"/>
        </w:rPr>
        <w:t xml:space="preserve"> </w:t>
      </w:r>
      <w:r w:rsidR="009854CE" w:rsidRPr="00277FE6">
        <w:rPr>
          <w:rFonts w:ascii="Verdana" w:hAnsi="Verdana"/>
          <w:sz w:val="20"/>
        </w:rPr>
        <w:t>A</w:t>
      </w:r>
      <w:r w:rsidR="001C20F2" w:rsidRPr="00277FE6">
        <w:rPr>
          <w:rFonts w:ascii="Verdana" w:hAnsi="Verdana"/>
          <w:sz w:val="20"/>
        </w:rPr>
        <w:t xml:space="preserve">us fachlicher Sicht </w:t>
      </w:r>
      <w:r w:rsidR="009854CE" w:rsidRPr="00277FE6">
        <w:rPr>
          <w:rFonts w:ascii="Verdana" w:hAnsi="Verdana"/>
          <w:sz w:val="20"/>
        </w:rPr>
        <w:t xml:space="preserve">sind diese Werte </w:t>
      </w:r>
      <w:r w:rsidR="00672003" w:rsidRPr="00277FE6">
        <w:rPr>
          <w:rFonts w:ascii="Verdana" w:hAnsi="Verdana"/>
          <w:sz w:val="20"/>
        </w:rPr>
        <w:t xml:space="preserve">zudem </w:t>
      </w:r>
      <w:r w:rsidR="001C20F2" w:rsidRPr="00277FE6">
        <w:rPr>
          <w:rFonts w:ascii="Verdana" w:hAnsi="Verdana"/>
          <w:sz w:val="20"/>
        </w:rPr>
        <w:t>überholt</w:t>
      </w:r>
      <w:r w:rsidR="000C4CEF" w:rsidRPr="00277FE6">
        <w:rPr>
          <w:rFonts w:ascii="Verdana" w:hAnsi="Verdana"/>
          <w:sz w:val="20"/>
        </w:rPr>
        <w:t xml:space="preserve">– sie </w:t>
      </w:r>
      <w:r w:rsidR="00005E16" w:rsidRPr="00277FE6">
        <w:rPr>
          <w:rFonts w:ascii="Verdana" w:hAnsi="Verdana"/>
          <w:sz w:val="20"/>
        </w:rPr>
        <w:t>sind ca. 25 Jahre alt</w:t>
      </w:r>
      <w:r w:rsidR="000C4CEF" w:rsidRPr="00277FE6">
        <w:rPr>
          <w:rFonts w:ascii="Verdana" w:hAnsi="Verdana"/>
          <w:sz w:val="20"/>
        </w:rPr>
        <w:t xml:space="preserve"> – und das gesamte Bewertungskonzept wurde seit August 2023 durch die EBV und das </w:t>
      </w:r>
      <w:r w:rsidR="007460E4">
        <w:rPr>
          <w:rFonts w:ascii="Verdana" w:hAnsi="Verdana"/>
          <w:sz w:val="20"/>
        </w:rPr>
        <w:t>ihr zugrundeliegende</w:t>
      </w:r>
      <w:r w:rsidR="000C4CEF" w:rsidRPr="00277FE6">
        <w:rPr>
          <w:rFonts w:ascii="Verdana" w:hAnsi="Verdana"/>
          <w:sz w:val="20"/>
        </w:rPr>
        <w:t xml:space="preserve"> wissenschaftliche Fachkonzept des Umweltbundesamtes </w:t>
      </w:r>
      <w:r w:rsidR="00E274B1" w:rsidRPr="00277FE6">
        <w:rPr>
          <w:rFonts w:ascii="Verdana" w:hAnsi="Verdana"/>
          <w:sz w:val="20"/>
        </w:rPr>
        <w:t>[</w:t>
      </w:r>
      <w:r w:rsidR="005357B6" w:rsidRPr="00277FE6">
        <w:rPr>
          <w:rFonts w:ascii="Verdana" w:hAnsi="Verdana"/>
          <w:sz w:val="20"/>
        </w:rPr>
        <w:fldChar w:fldCharType="begin"/>
      </w:r>
      <w:r w:rsidR="005357B6" w:rsidRPr="00277FE6">
        <w:rPr>
          <w:rFonts w:ascii="Verdana" w:hAnsi="Verdana"/>
          <w:sz w:val="20"/>
        </w:rPr>
        <w:instrText xml:space="preserve"> NOTEREF _Ref181780045 \h </w:instrText>
      </w:r>
      <w:r w:rsidR="00277FE6" w:rsidRPr="00277FE6">
        <w:rPr>
          <w:rFonts w:ascii="Verdana" w:hAnsi="Verdana"/>
          <w:sz w:val="20"/>
        </w:rPr>
        <w:instrText xml:space="preserve"> \* MERGEFORMAT </w:instrText>
      </w:r>
      <w:r w:rsidR="005357B6" w:rsidRPr="00277FE6">
        <w:rPr>
          <w:rFonts w:ascii="Verdana" w:hAnsi="Verdana"/>
          <w:sz w:val="20"/>
        </w:rPr>
      </w:r>
      <w:r w:rsidR="005357B6" w:rsidRPr="00277FE6">
        <w:rPr>
          <w:rFonts w:ascii="Verdana" w:hAnsi="Verdana"/>
          <w:sz w:val="20"/>
        </w:rPr>
        <w:fldChar w:fldCharType="separate"/>
      </w:r>
      <w:r w:rsidR="007460E4">
        <w:rPr>
          <w:rFonts w:ascii="Verdana" w:hAnsi="Verdana"/>
          <w:sz w:val="20"/>
        </w:rPr>
        <w:t>2</w:t>
      </w:r>
      <w:r w:rsidR="005357B6" w:rsidRPr="00277FE6">
        <w:rPr>
          <w:rFonts w:ascii="Verdana" w:hAnsi="Verdana"/>
          <w:sz w:val="20"/>
        </w:rPr>
        <w:fldChar w:fldCharType="end"/>
      </w:r>
      <w:r w:rsidR="00E274B1" w:rsidRPr="00277FE6">
        <w:rPr>
          <w:rFonts w:ascii="Verdana" w:hAnsi="Verdana"/>
          <w:sz w:val="20"/>
        </w:rPr>
        <w:t>]</w:t>
      </w:r>
      <w:r w:rsidR="00E274B1" w:rsidRPr="00277FE6">
        <w:rPr>
          <w:rFonts w:ascii="Verdana" w:hAnsi="Verdana"/>
          <w:sz w:val="20"/>
          <w:vertAlign w:val="superscript"/>
        </w:rPr>
        <w:t xml:space="preserve"> </w:t>
      </w:r>
      <w:r w:rsidR="000C4CEF" w:rsidRPr="00277FE6">
        <w:rPr>
          <w:rFonts w:ascii="Verdana" w:hAnsi="Verdana"/>
          <w:sz w:val="20"/>
        </w:rPr>
        <w:t>ersetzt.</w:t>
      </w:r>
    </w:p>
    <w:p w14:paraId="2208795D" w14:textId="3697CFCA" w:rsidR="00222FB1" w:rsidRPr="00277FE6" w:rsidRDefault="00320A21" w:rsidP="00AE6E48">
      <w:pPr>
        <w:spacing w:before="100" w:beforeAutospacing="1" w:after="100" w:afterAutospacing="1"/>
        <w:rPr>
          <w:rFonts w:ascii="Verdana" w:hAnsi="Verdana"/>
          <w:sz w:val="20"/>
        </w:rPr>
      </w:pPr>
      <w:r w:rsidRPr="00277FE6">
        <w:rPr>
          <w:rFonts w:ascii="Verdana" w:hAnsi="Verdana"/>
          <w:sz w:val="20"/>
        </w:rPr>
        <w:t>Darüber hinaus</w:t>
      </w:r>
      <w:r w:rsidR="0045693B" w:rsidRPr="00277FE6">
        <w:rPr>
          <w:rFonts w:ascii="Verdana" w:hAnsi="Verdana"/>
          <w:sz w:val="20"/>
        </w:rPr>
        <w:t xml:space="preserve"> ist d</w:t>
      </w:r>
      <w:r w:rsidR="009A14DF" w:rsidRPr="00277FE6">
        <w:rPr>
          <w:rFonts w:ascii="Verdana" w:hAnsi="Verdana"/>
          <w:sz w:val="20"/>
        </w:rPr>
        <w:t xml:space="preserve">ie Übernahme </w:t>
      </w:r>
      <w:r w:rsidR="0094317D" w:rsidRPr="00277FE6">
        <w:rPr>
          <w:rFonts w:ascii="Verdana" w:hAnsi="Verdana"/>
          <w:sz w:val="20"/>
        </w:rPr>
        <w:t>der LAGA-</w:t>
      </w:r>
      <w:r w:rsidR="009A14DF" w:rsidRPr="00277FE6">
        <w:rPr>
          <w:rFonts w:ascii="Verdana" w:hAnsi="Verdana"/>
          <w:sz w:val="20"/>
        </w:rPr>
        <w:t xml:space="preserve">Werte in </w:t>
      </w:r>
      <w:r w:rsidR="0094317D" w:rsidRPr="00277FE6">
        <w:rPr>
          <w:rFonts w:ascii="Verdana" w:hAnsi="Verdana"/>
          <w:sz w:val="20"/>
        </w:rPr>
        <w:t xml:space="preserve">die </w:t>
      </w:r>
      <w:proofErr w:type="spellStart"/>
      <w:r w:rsidR="003E6DB8" w:rsidRPr="00277FE6">
        <w:rPr>
          <w:rFonts w:ascii="Verdana" w:hAnsi="Verdana"/>
          <w:sz w:val="20"/>
        </w:rPr>
        <w:t>AB</w:t>
      </w:r>
      <w:r w:rsidR="0045693B" w:rsidRPr="00277FE6">
        <w:rPr>
          <w:rFonts w:ascii="Verdana" w:hAnsi="Verdana"/>
          <w:sz w:val="20"/>
        </w:rPr>
        <w:t>uG</w:t>
      </w:r>
      <w:proofErr w:type="spellEnd"/>
      <w:r w:rsidR="003E6DB8" w:rsidRPr="00277FE6">
        <w:rPr>
          <w:rFonts w:ascii="Verdana" w:hAnsi="Verdana"/>
          <w:sz w:val="20"/>
        </w:rPr>
        <w:t xml:space="preserve"> mit den </w:t>
      </w:r>
      <w:r w:rsidRPr="00277FE6">
        <w:rPr>
          <w:rFonts w:ascii="Verdana" w:hAnsi="Verdana"/>
          <w:sz w:val="20"/>
        </w:rPr>
        <w:t>gesetzlichen</w:t>
      </w:r>
      <w:r w:rsidR="003E6DB8" w:rsidRPr="00277FE6">
        <w:rPr>
          <w:rFonts w:ascii="Verdana" w:hAnsi="Verdana"/>
          <w:sz w:val="20"/>
        </w:rPr>
        <w:t xml:space="preserve"> Grundlagen des Bauordnungsrechts nicht zu </w:t>
      </w:r>
      <w:r w:rsidR="0045693B" w:rsidRPr="00277FE6">
        <w:rPr>
          <w:rFonts w:ascii="Verdana" w:hAnsi="Verdana"/>
          <w:sz w:val="20"/>
        </w:rPr>
        <w:t>vereinbaren.</w:t>
      </w:r>
      <w:r w:rsidR="00B23EFA" w:rsidRPr="00277FE6">
        <w:rPr>
          <w:rFonts w:ascii="Verdana" w:hAnsi="Verdana"/>
          <w:sz w:val="20"/>
        </w:rPr>
        <w:t xml:space="preserve"> Als Teil der MVV</w:t>
      </w:r>
      <w:r w:rsidR="00B710DB" w:rsidRPr="00277FE6">
        <w:rPr>
          <w:rFonts w:ascii="Verdana" w:hAnsi="Verdana"/>
          <w:sz w:val="20"/>
        </w:rPr>
        <w:t xml:space="preserve"> </w:t>
      </w:r>
      <w:r w:rsidR="00B23EFA" w:rsidRPr="00277FE6">
        <w:rPr>
          <w:rFonts w:ascii="Verdana" w:hAnsi="Verdana"/>
          <w:sz w:val="20"/>
        </w:rPr>
        <w:t xml:space="preserve">TB (Anhang 10) sind die </w:t>
      </w:r>
      <w:proofErr w:type="spellStart"/>
      <w:r w:rsidR="00B23EFA" w:rsidRPr="00277FE6">
        <w:rPr>
          <w:rFonts w:ascii="Verdana" w:hAnsi="Verdana"/>
          <w:sz w:val="20"/>
        </w:rPr>
        <w:t>ABuG</w:t>
      </w:r>
      <w:proofErr w:type="spellEnd"/>
      <w:r w:rsidR="00B23EFA" w:rsidRPr="00277FE6">
        <w:rPr>
          <w:rFonts w:ascii="Verdana" w:hAnsi="Verdana"/>
          <w:sz w:val="20"/>
        </w:rPr>
        <w:t xml:space="preserve"> auf § 3 MBO </w:t>
      </w:r>
      <w:r w:rsidR="00490E70" w:rsidRPr="00277FE6">
        <w:rPr>
          <w:rFonts w:ascii="Verdana" w:hAnsi="Verdana"/>
          <w:sz w:val="20"/>
        </w:rPr>
        <w:t>[</w:t>
      </w:r>
      <w:r w:rsidR="00443F7D" w:rsidRPr="00277FE6">
        <w:rPr>
          <w:rStyle w:val="Endnotenzeichen"/>
          <w:rFonts w:ascii="Verdana" w:hAnsi="Verdana"/>
          <w:sz w:val="20"/>
        </w:rPr>
        <w:endnoteReference w:id="8"/>
      </w:r>
      <w:r w:rsidR="00490E70" w:rsidRPr="00277FE6">
        <w:rPr>
          <w:rFonts w:ascii="Verdana" w:hAnsi="Verdana"/>
          <w:sz w:val="20"/>
        </w:rPr>
        <w:t xml:space="preserve">] </w:t>
      </w:r>
      <w:r w:rsidR="00B23EFA" w:rsidRPr="00277FE6">
        <w:rPr>
          <w:rFonts w:ascii="Verdana" w:hAnsi="Verdana"/>
          <w:sz w:val="20"/>
        </w:rPr>
        <w:t xml:space="preserve">gestützt. § 3 MBO wird als bauordnungsrechtliche Generalklausel bezeichnet. Sie ist Ausdruck der Einordnung des Bauordnungsrechts als sog. Gefahrenabwehrrecht. Regelungen, die in der MVV TB aufgenommen werden sollen, müssen daher </w:t>
      </w:r>
      <w:r w:rsidR="0036462C" w:rsidRPr="00277FE6">
        <w:rPr>
          <w:rFonts w:ascii="Verdana" w:hAnsi="Verdana"/>
          <w:sz w:val="20"/>
        </w:rPr>
        <w:t>der</w:t>
      </w:r>
      <w:r w:rsidR="00B23EFA" w:rsidRPr="00277FE6">
        <w:rPr>
          <w:rFonts w:ascii="Verdana" w:hAnsi="Verdana"/>
          <w:sz w:val="20"/>
        </w:rPr>
        <w:t xml:space="preserve"> Gefahrenabwehr </w:t>
      </w:r>
      <w:r w:rsidR="0036462C" w:rsidRPr="00277FE6">
        <w:rPr>
          <w:rFonts w:ascii="Verdana" w:hAnsi="Verdana"/>
          <w:sz w:val="20"/>
        </w:rPr>
        <w:t>dienen</w:t>
      </w:r>
      <w:r w:rsidR="00B23EFA" w:rsidRPr="00277FE6">
        <w:rPr>
          <w:rFonts w:ascii="Verdana" w:hAnsi="Verdana"/>
          <w:sz w:val="20"/>
        </w:rPr>
        <w:t>, d.</w:t>
      </w:r>
      <w:r w:rsidR="007460E4">
        <w:rPr>
          <w:rFonts w:ascii="Verdana" w:hAnsi="Verdana"/>
          <w:sz w:val="20"/>
        </w:rPr>
        <w:t xml:space="preserve"> </w:t>
      </w:r>
      <w:proofErr w:type="gramStart"/>
      <w:r w:rsidR="00B23EFA" w:rsidRPr="00277FE6">
        <w:rPr>
          <w:rFonts w:ascii="Verdana" w:hAnsi="Verdana"/>
          <w:sz w:val="20"/>
        </w:rPr>
        <w:t>h.</w:t>
      </w:r>
      <w:proofErr w:type="gramEnd"/>
      <w:r w:rsidR="00B23EFA" w:rsidRPr="00277FE6">
        <w:rPr>
          <w:rFonts w:ascii="Verdana" w:hAnsi="Verdana"/>
          <w:sz w:val="20"/>
        </w:rPr>
        <w:t xml:space="preserve"> </w:t>
      </w:r>
      <w:r w:rsidR="007460E4">
        <w:rPr>
          <w:rFonts w:ascii="Verdana" w:hAnsi="Verdana"/>
          <w:sz w:val="20"/>
        </w:rPr>
        <w:t>dass</w:t>
      </w:r>
      <w:r w:rsidR="007460E4" w:rsidRPr="00277FE6">
        <w:rPr>
          <w:rFonts w:ascii="Verdana" w:hAnsi="Verdana"/>
          <w:sz w:val="20"/>
        </w:rPr>
        <w:t xml:space="preserve"> </w:t>
      </w:r>
      <w:r w:rsidR="00B23EFA" w:rsidRPr="00277FE6">
        <w:rPr>
          <w:rFonts w:ascii="Verdana" w:hAnsi="Verdana"/>
          <w:sz w:val="20"/>
        </w:rPr>
        <w:t>eine (abstrakte) Gefahr vor</w:t>
      </w:r>
      <w:r w:rsidR="007460E4" w:rsidRPr="00277FE6">
        <w:rPr>
          <w:rFonts w:ascii="Verdana" w:hAnsi="Verdana"/>
          <w:sz w:val="20"/>
        </w:rPr>
        <w:t>liegt</w:t>
      </w:r>
      <w:r w:rsidR="00B23EFA" w:rsidRPr="00277FE6">
        <w:rPr>
          <w:rFonts w:ascii="Verdana" w:hAnsi="Verdana"/>
          <w:sz w:val="20"/>
        </w:rPr>
        <w:t>, falls die Regelung unterbleibt</w:t>
      </w:r>
      <w:r w:rsidR="00CD10ED" w:rsidRPr="00277FE6">
        <w:rPr>
          <w:rFonts w:ascii="Verdana" w:hAnsi="Verdana"/>
          <w:sz w:val="20"/>
        </w:rPr>
        <w:t xml:space="preserve"> [</w:t>
      </w:r>
      <w:r w:rsidR="00CD10ED" w:rsidRPr="00277FE6">
        <w:rPr>
          <w:rStyle w:val="Endnotenzeichen"/>
          <w:rFonts w:ascii="Verdana" w:hAnsi="Verdana"/>
          <w:sz w:val="20"/>
        </w:rPr>
        <w:endnoteReference w:id="9"/>
      </w:r>
      <w:r w:rsidR="00CD10ED" w:rsidRPr="00277FE6">
        <w:rPr>
          <w:rFonts w:ascii="Verdana" w:hAnsi="Verdana"/>
          <w:sz w:val="20"/>
        </w:rPr>
        <w:t>]</w:t>
      </w:r>
      <w:r w:rsidR="00B23EFA" w:rsidRPr="00277FE6">
        <w:rPr>
          <w:rFonts w:ascii="Verdana" w:hAnsi="Verdana"/>
          <w:sz w:val="20"/>
        </w:rPr>
        <w:t>.</w:t>
      </w:r>
      <w:r w:rsidR="00E624DA">
        <w:rPr>
          <w:rFonts w:ascii="Verdana" w:hAnsi="Verdana"/>
          <w:sz w:val="20"/>
        </w:rPr>
        <w:t xml:space="preserve"> </w:t>
      </w:r>
      <w:r w:rsidR="00E624DA" w:rsidRPr="00FA1164">
        <w:rPr>
          <w:rFonts w:ascii="Verdana" w:hAnsi="Verdana"/>
          <w:sz w:val="20"/>
        </w:rPr>
        <w:t xml:space="preserve">Eine Gefahr liegt vor, wenn </w:t>
      </w:r>
      <w:r w:rsidR="00E624DA" w:rsidRPr="00922232">
        <w:rPr>
          <w:rFonts w:ascii="Verdana" w:hAnsi="Verdana"/>
          <w:sz w:val="20"/>
        </w:rPr>
        <w:t>der ungehinderte Verlauf eines Geschehens</w:t>
      </w:r>
      <w:r w:rsidR="00E624DA">
        <w:rPr>
          <w:rFonts w:ascii="Verdana" w:hAnsi="Verdana"/>
          <w:sz w:val="20"/>
        </w:rPr>
        <w:t xml:space="preserve"> </w:t>
      </w:r>
      <w:r w:rsidR="00E624DA" w:rsidRPr="00FA1164">
        <w:rPr>
          <w:rFonts w:ascii="Verdana" w:hAnsi="Verdana"/>
          <w:sz w:val="20"/>
        </w:rPr>
        <w:t>in absehbarer Zeit mit hinreichender Wahrscheinlichkeit zu einem Schaden an einem</w:t>
      </w:r>
      <w:r w:rsidR="00E624DA">
        <w:rPr>
          <w:rFonts w:ascii="Verdana" w:hAnsi="Verdana"/>
          <w:sz w:val="20"/>
        </w:rPr>
        <w:t xml:space="preserve"> der</w:t>
      </w:r>
      <w:r w:rsidR="00E624DA" w:rsidRPr="00FA1164">
        <w:rPr>
          <w:rFonts w:ascii="Verdana" w:hAnsi="Verdana"/>
          <w:sz w:val="20"/>
        </w:rPr>
        <w:t xml:space="preserve"> Schutzg</w:t>
      </w:r>
      <w:r w:rsidR="00E624DA">
        <w:rPr>
          <w:rFonts w:ascii="Verdana" w:hAnsi="Verdana"/>
          <w:sz w:val="20"/>
        </w:rPr>
        <w:t>üter</w:t>
      </w:r>
      <w:r w:rsidR="00E624DA" w:rsidRPr="00FA1164">
        <w:rPr>
          <w:rFonts w:ascii="Verdana" w:hAnsi="Verdana"/>
          <w:sz w:val="20"/>
        </w:rPr>
        <w:t xml:space="preserve"> führen kann. </w:t>
      </w:r>
      <w:r w:rsidR="00AA122F" w:rsidRPr="00277FE6">
        <w:rPr>
          <w:rFonts w:ascii="Verdana" w:hAnsi="Verdana"/>
          <w:sz w:val="20"/>
        </w:rPr>
        <w:t>Sollen Grenzwerte in der MVV TB geregelt werden, müssen diese also die Gefahrenschwelle abbilden</w:t>
      </w:r>
      <w:r w:rsidR="00117F01" w:rsidRPr="00277FE6">
        <w:rPr>
          <w:rFonts w:ascii="Verdana" w:hAnsi="Verdana"/>
          <w:sz w:val="20"/>
        </w:rPr>
        <w:t xml:space="preserve"> [</w:t>
      </w:r>
      <w:r w:rsidR="00117F01" w:rsidRPr="00277FE6">
        <w:rPr>
          <w:rStyle w:val="Endnotenzeichen"/>
          <w:rFonts w:ascii="Verdana" w:hAnsi="Verdana"/>
          <w:sz w:val="20"/>
        </w:rPr>
        <w:endnoteReference w:id="10"/>
      </w:r>
      <w:r w:rsidR="00117F01" w:rsidRPr="00277FE6">
        <w:rPr>
          <w:rFonts w:ascii="Verdana" w:hAnsi="Verdana"/>
          <w:sz w:val="20"/>
        </w:rPr>
        <w:t>]</w:t>
      </w:r>
      <w:r w:rsidR="00AA122F" w:rsidRPr="00277FE6">
        <w:rPr>
          <w:rFonts w:ascii="Verdana" w:hAnsi="Verdana"/>
          <w:sz w:val="20"/>
        </w:rPr>
        <w:t>.</w:t>
      </w:r>
      <w:r w:rsidR="007460E4">
        <w:rPr>
          <w:rFonts w:ascii="Verdana" w:hAnsi="Verdana"/>
          <w:sz w:val="20"/>
        </w:rPr>
        <w:t xml:space="preserve"> </w:t>
      </w:r>
      <w:r w:rsidR="00AA122F" w:rsidRPr="00277FE6">
        <w:rPr>
          <w:rFonts w:ascii="Verdana" w:hAnsi="Verdana"/>
          <w:sz w:val="20"/>
        </w:rPr>
        <w:t xml:space="preserve">Das bedeutet, dass die konkreten Werte so gewählt werden müssen, dass bei ihrem Überschreiten unmittelbar ein Schaden an </w:t>
      </w:r>
      <w:r w:rsidR="007460E4" w:rsidRPr="00277FE6">
        <w:rPr>
          <w:rFonts w:ascii="Verdana" w:hAnsi="Verdana"/>
          <w:sz w:val="20"/>
        </w:rPr>
        <w:t>einem Schutzgut der öffentlichen Sicherheit oder Ordnung</w:t>
      </w:r>
      <w:r w:rsidR="007460E4">
        <w:rPr>
          <w:rFonts w:ascii="Verdana" w:hAnsi="Verdana"/>
          <w:sz w:val="20"/>
        </w:rPr>
        <w:t xml:space="preserve"> </w:t>
      </w:r>
      <w:r w:rsidR="00AA122F" w:rsidRPr="00277FE6">
        <w:rPr>
          <w:rFonts w:ascii="Verdana" w:hAnsi="Verdana"/>
          <w:sz w:val="20"/>
        </w:rPr>
        <w:t>eintreten würde</w:t>
      </w:r>
      <w:r w:rsidR="007460E4" w:rsidRPr="00277FE6">
        <w:rPr>
          <w:rFonts w:ascii="Verdana" w:hAnsi="Verdana"/>
          <w:sz w:val="20"/>
        </w:rPr>
        <w:t xml:space="preserve"> (wobei die öffentliche Ordnung im vorliegenden Zusammenhang irrelevant ist)</w:t>
      </w:r>
      <w:r w:rsidR="00AA122F" w:rsidRPr="00277FE6">
        <w:rPr>
          <w:rFonts w:ascii="Verdana" w:hAnsi="Verdana"/>
          <w:sz w:val="20"/>
        </w:rPr>
        <w:t>.</w:t>
      </w:r>
      <w:r w:rsidR="00F429CA" w:rsidRPr="00277FE6">
        <w:rPr>
          <w:rFonts w:ascii="Verdana" w:hAnsi="Verdana"/>
          <w:sz w:val="20"/>
        </w:rPr>
        <w:t xml:space="preserve"> Schadensmöglichkeiten, die sich lediglich nicht ausschließen lassen, weil nach dem derzeitigen Wissensstand bestimmte Ursachenzusammenhänge weder bejaht noch verneint werden können, begründen noch keine Gefahr, sondern lediglich einen Gefahrenverdacht oder ein „Besorgnispotential“</w:t>
      </w:r>
      <w:r w:rsidR="001A3E5E" w:rsidRPr="00277FE6">
        <w:rPr>
          <w:rFonts w:ascii="Verdana" w:hAnsi="Verdana"/>
          <w:sz w:val="20"/>
        </w:rPr>
        <w:t xml:space="preserve"> [</w:t>
      </w:r>
      <w:r w:rsidR="001A3E5E" w:rsidRPr="00277FE6">
        <w:rPr>
          <w:rStyle w:val="Endnotenzeichen"/>
          <w:rFonts w:ascii="Verdana" w:hAnsi="Verdana"/>
          <w:sz w:val="20"/>
        </w:rPr>
        <w:endnoteReference w:id="11"/>
      </w:r>
      <w:r w:rsidR="001A3E5E" w:rsidRPr="00277FE6">
        <w:rPr>
          <w:rFonts w:ascii="Verdana" w:hAnsi="Verdana"/>
          <w:sz w:val="20"/>
        </w:rPr>
        <w:t>]</w:t>
      </w:r>
      <w:r w:rsidR="00F429CA" w:rsidRPr="00277FE6">
        <w:rPr>
          <w:rFonts w:ascii="Verdana" w:hAnsi="Verdana"/>
          <w:sz w:val="20"/>
        </w:rPr>
        <w:t>.</w:t>
      </w:r>
      <w:r w:rsidR="001A3E5E" w:rsidRPr="00277FE6">
        <w:rPr>
          <w:rFonts w:ascii="Verdana" w:hAnsi="Verdana"/>
          <w:sz w:val="20"/>
        </w:rPr>
        <w:t xml:space="preserve"> </w:t>
      </w:r>
      <w:r w:rsidR="00F429CA" w:rsidRPr="00277FE6">
        <w:rPr>
          <w:rFonts w:ascii="Verdana" w:hAnsi="Verdana"/>
          <w:sz w:val="20"/>
        </w:rPr>
        <w:t>Maßgebliches Kriterium zur Feststellung einer Gefahr ist die hinreichende Wahrscheinlichkeit des Schadenseintritts</w:t>
      </w:r>
      <w:r w:rsidR="00317B61" w:rsidRPr="00277FE6">
        <w:rPr>
          <w:rFonts w:ascii="Verdana" w:hAnsi="Verdana"/>
          <w:sz w:val="20"/>
        </w:rPr>
        <w:t xml:space="preserve"> [</w:t>
      </w:r>
      <w:r w:rsidR="00317B61" w:rsidRPr="00277FE6">
        <w:rPr>
          <w:rStyle w:val="Endnotenzeichen"/>
          <w:rFonts w:ascii="Verdana" w:hAnsi="Verdana"/>
          <w:sz w:val="20"/>
        </w:rPr>
        <w:endnoteReference w:id="12"/>
      </w:r>
      <w:r w:rsidR="00317B61" w:rsidRPr="00277FE6">
        <w:rPr>
          <w:rFonts w:ascii="Verdana" w:hAnsi="Verdana"/>
          <w:sz w:val="20"/>
        </w:rPr>
        <w:t>]</w:t>
      </w:r>
      <w:r w:rsidR="00F429CA" w:rsidRPr="00277FE6">
        <w:rPr>
          <w:rFonts w:ascii="Verdana" w:hAnsi="Verdana"/>
          <w:sz w:val="20"/>
        </w:rPr>
        <w:t>.</w:t>
      </w:r>
      <w:r w:rsidR="00317B61" w:rsidRPr="00277FE6">
        <w:rPr>
          <w:rFonts w:ascii="Verdana" w:hAnsi="Verdana"/>
          <w:sz w:val="20"/>
        </w:rPr>
        <w:t xml:space="preserve"> </w:t>
      </w:r>
      <w:r w:rsidR="00CB0D84" w:rsidRPr="00277FE6">
        <w:rPr>
          <w:rFonts w:ascii="Verdana" w:hAnsi="Verdana"/>
          <w:sz w:val="20"/>
        </w:rPr>
        <w:t xml:space="preserve">Insbesondere ist die Festlegung von Anforderungen aufgrund lediglich erwarteter </w:t>
      </w:r>
      <w:r w:rsidR="00CB0D84" w:rsidRPr="00277FE6">
        <w:rPr>
          <w:rFonts w:ascii="Verdana" w:hAnsi="Verdana"/>
          <w:sz w:val="20"/>
        </w:rPr>
        <w:lastRenderedPageBreak/>
        <w:t>Gefahren ebenso unzulässig wie „Sicherheitsaufschläge“ bei der Festlegung von Grenzwerten, da es sich dabei gerade nicht um Gefahrenabwehr, sondern um Gefahrenvorsorge handelt</w:t>
      </w:r>
      <w:r w:rsidR="007460E4">
        <w:rPr>
          <w:rFonts w:ascii="Verdana" w:hAnsi="Verdana"/>
          <w:sz w:val="20"/>
        </w:rPr>
        <w:t>e</w:t>
      </w:r>
      <w:r w:rsidR="00CB0D84" w:rsidRPr="00277FE6">
        <w:rPr>
          <w:rFonts w:ascii="Verdana" w:hAnsi="Verdana"/>
          <w:sz w:val="20"/>
        </w:rPr>
        <w:t>. Vielmehr muss, ausgehend von dem bereits erreichten Stand der Wissenschaft und Technik, gestützt auf entsprechende Lebenserfahrungen oder (gesicherte) wissenschaftliche Erfahrungssätze, eine abstrakte Schädigungsvermutung belegt und begründet werden</w:t>
      </w:r>
      <w:r w:rsidR="000F0E0B" w:rsidRPr="00277FE6">
        <w:rPr>
          <w:rFonts w:ascii="Verdana" w:hAnsi="Verdana"/>
          <w:sz w:val="20"/>
        </w:rPr>
        <w:t xml:space="preserve"> [</w:t>
      </w:r>
      <w:r w:rsidR="000F0E0B" w:rsidRPr="00277FE6">
        <w:rPr>
          <w:rStyle w:val="Endnotenzeichen"/>
          <w:rFonts w:ascii="Verdana" w:hAnsi="Verdana"/>
          <w:sz w:val="20"/>
        </w:rPr>
        <w:endnoteReference w:id="13"/>
      </w:r>
      <w:r w:rsidR="000F0E0B" w:rsidRPr="00277FE6">
        <w:rPr>
          <w:rFonts w:ascii="Verdana" w:hAnsi="Verdana"/>
          <w:sz w:val="20"/>
        </w:rPr>
        <w:t>]</w:t>
      </w:r>
      <w:r w:rsidR="00CB0D84" w:rsidRPr="00277FE6">
        <w:rPr>
          <w:rFonts w:ascii="Verdana" w:hAnsi="Verdana"/>
          <w:sz w:val="20"/>
        </w:rPr>
        <w:t>.</w:t>
      </w:r>
      <w:r w:rsidR="000F0E0B" w:rsidRPr="00277FE6">
        <w:rPr>
          <w:rFonts w:ascii="Verdana" w:hAnsi="Verdana"/>
          <w:sz w:val="20"/>
        </w:rPr>
        <w:t xml:space="preserve"> </w:t>
      </w:r>
      <w:r w:rsidR="00CB0D84" w:rsidRPr="00277FE6">
        <w:rPr>
          <w:rFonts w:ascii="Verdana" w:hAnsi="Verdana"/>
          <w:sz w:val="20"/>
        </w:rPr>
        <w:t>Maßstab für die Bewertung sind dabei zudem nicht besonders empfindliche Menschen, wie beispielsweise chronisch kranke Menschen</w:t>
      </w:r>
      <w:r w:rsidR="00F734CD" w:rsidRPr="00277FE6">
        <w:rPr>
          <w:rFonts w:ascii="Verdana" w:hAnsi="Verdana"/>
          <w:sz w:val="20"/>
        </w:rPr>
        <w:t xml:space="preserve"> [</w:t>
      </w:r>
      <w:r w:rsidR="00F734CD" w:rsidRPr="00277FE6">
        <w:rPr>
          <w:rStyle w:val="Endnotenzeichen"/>
          <w:rFonts w:ascii="Verdana" w:hAnsi="Verdana"/>
          <w:sz w:val="20"/>
        </w:rPr>
        <w:endnoteReference w:id="14"/>
      </w:r>
      <w:r w:rsidR="00F734CD" w:rsidRPr="00277FE6">
        <w:rPr>
          <w:rFonts w:ascii="Verdana" w:hAnsi="Verdana"/>
          <w:sz w:val="20"/>
        </w:rPr>
        <w:t>]</w:t>
      </w:r>
      <w:r w:rsidR="00CB0D84" w:rsidRPr="00277FE6">
        <w:rPr>
          <w:rFonts w:ascii="Verdana" w:hAnsi="Verdana"/>
          <w:sz w:val="20"/>
        </w:rPr>
        <w:t>.</w:t>
      </w:r>
      <w:r w:rsidR="00F734CD" w:rsidRPr="00277FE6">
        <w:rPr>
          <w:rFonts w:ascii="Verdana" w:hAnsi="Verdana"/>
          <w:sz w:val="20"/>
        </w:rPr>
        <w:t xml:space="preserve"> </w:t>
      </w:r>
      <w:r w:rsidR="00CB0D84" w:rsidRPr="00277FE6">
        <w:rPr>
          <w:rFonts w:ascii="Verdana" w:hAnsi="Verdana"/>
          <w:sz w:val="20"/>
        </w:rPr>
        <w:t xml:space="preserve">Diesen rechtlichen Anforderungen gemäß § 3 MBO werden die </w:t>
      </w:r>
      <w:proofErr w:type="spellStart"/>
      <w:r w:rsidR="00CB0D84" w:rsidRPr="00277FE6">
        <w:rPr>
          <w:rFonts w:ascii="Verdana" w:hAnsi="Verdana"/>
          <w:sz w:val="20"/>
        </w:rPr>
        <w:t>ABuG</w:t>
      </w:r>
      <w:proofErr w:type="spellEnd"/>
      <w:r w:rsidR="00CB0D84" w:rsidRPr="00277FE6">
        <w:rPr>
          <w:rFonts w:ascii="Verdana" w:hAnsi="Verdana"/>
          <w:sz w:val="20"/>
        </w:rPr>
        <w:t xml:space="preserve"> nicht gerecht.</w:t>
      </w:r>
      <w:r w:rsidR="00A96D5E" w:rsidRPr="00277FE6">
        <w:rPr>
          <w:rFonts w:ascii="Verdana" w:hAnsi="Verdana"/>
          <w:sz w:val="20"/>
        </w:rPr>
        <w:t xml:space="preserve"> Die in ihnen </w:t>
      </w:r>
      <w:r w:rsidR="0055260B" w:rsidRPr="00277FE6">
        <w:rPr>
          <w:rFonts w:ascii="Verdana" w:hAnsi="Verdana"/>
          <w:sz w:val="20"/>
        </w:rPr>
        <w:t xml:space="preserve">aus der LAGA </w:t>
      </w:r>
      <w:r w:rsidR="009814E6" w:rsidRPr="00277FE6">
        <w:rPr>
          <w:rFonts w:ascii="Verdana" w:hAnsi="Verdana"/>
          <w:sz w:val="20"/>
        </w:rPr>
        <w:t>abgeleiteten</w:t>
      </w:r>
      <w:r w:rsidR="00B515AE" w:rsidRPr="00277FE6">
        <w:rPr>
          <w:rFonts w:ascii="Verdana" w:hAnsi="Verdana"/>
          <w:sz w:val="20"/>
        </w:rPr>
        <w:t xml:space="preserve"> </w:t>
      </w:r>
      <w:r w:rsidR="00A96D5E" w:rsidRPr="00277FE6">
        <w:rPr>
          <w:rFonts w:ascii="Verdana" w:hAnsi="Verdana"/>
          <w:sz w:val="20"/>
        </w:rPr>
        <w:t xml:space="preserve">Grenzwerte </w:t>
      </w:r>
      <w:r w:rsidR="0054461D" w:rsidRPr="00277FE6">
        <w:rPr>
          <w:rFonts w:ascii="Verdana" w:hAnsi="Verdana"/>
          <w:sz w:val="20"/>
        </w:rPr>
        <w:t xml:space="preserve">sind </w:t>
      </w:r>
      <w:r w:rsidR="00A96D5E" w:rsidRPr="00277FE6">
        <w:rPr>
          <w:rFonts w:ascii="Verdana" w:hAnsi="Verdana"/>
          <w:sz w:val="20"/>
        </w:rPr>
        <w:t>dem Abfallrecht</w:t>
      </w:r>
      <w:r w:rsidR="00A00784" w:rsidRPr="00277FE6">
        <w:rPr>
          <w:rFonts w:ascii="Verdana" w:hAnsi="Verdana"/>
          <w:sz w:val="20"/>
        </w:rPr>
        <w:t xml:space="preserve"> </w:t>
      </w:r>
      <w:r w:rsidR="0054461D" w:rsidRPr="00277FE6">
        <w:rPr>
          <w:rFonts w:ascii="Verdana" w:hAnsi="Verdana"/>
          <w:sz w:val="20"/>
        </w:rPr>
        <w:t>zuzuordnen</w:t>
      </w:r>
      <w:r w:rsidR="00AB104E" w:rsidRPr="00277FE6">
        <w:rPr>
          <w:rFonts w:ascii="Verdana" w:hAnsi="Verdana"/>
          <w:sz w:val="20"/>
        </w:rPr>
        <w:t xml:space="preserve">. </w:t>
      </w:r>
      <w:r w:rsidR="007B1A66" w:rsidRPr="00277FE6">
        <w:rPr>
          <w:rFonts w:ascii="Verdana" w:hAnsi="Verdana"/>
          <w:sz w:val="20"/>
        </w:rPr>
        <w:t>Insbesondere d</w:t>
      </w:r>
      <w:r w:rsidR="00AB104E" w:rsidRPr="00277FE6">
        <w:rPr>
          <w:rFonts w:ascii="Verdana" w:hAnsi="Verdana"/>
          <w:sz w:val="20"/>
        </w:rPr>
        <w:t>ie Übernahme der Feststoffgrenzwerte</w:t>
      </w:r>
      <w:r w:rsidR="007B1A66" w:rsidRPr="00277FE6">
        <w:rPr>
          <w:rFonts w:ascii="Verdana" w:hAnsi="Verdana"/>
          <w:sz w:val="20"/>
        </w:rPr>
        <w:t xml:space="preserve"> </w:t>
      </w:r>
      <w:r w:rsidR="0054461D" w:rsidRPr="00277FE6">
        <w:rPr>
          <w:rFonts w:ascii="Verdana" w:hAnsi="Verdana"/>
          <w:sz w:val="20"/>
        </w:rPr>
        <w:t xml:space="preserve">wurde mit dem Ziel </w:t>
      </w:r>
      <w:r w:rsidR="00B515AE" w:rsidRPr="00277FE6">
        <w:rPr>
          <w:rFonts w:ascii="Verdana" w:hAnsi="Verdana"/>
          <w:sz w:val="20"/>
        </w:rPr>
        <w:t xml:space="preserve">der umwelt- und gesundheitsbezogenen Risikovorsorge – und eben nicht Gefahrenabwehr – </w:t>
      </w:r>
      <w:r w:rsidR="00664716" w:rsidRPr="00277FE6">
        <w:rPr>
          <w:rFonts w:ascii="Verdana" w:hAnsi="Verdana"/>
          <w:sz w:val="20"/>
        </w:rPr>
        <w:t>vorgenommen</w:t>
      </w:r>
      <w:r w:rsidR="008461DF" w:rsidRPr="00277FE6">
        <w:rPr>
          <w:rFonts w:ascii="Verdana" w:hAnsi="Verdana"/>
          <w:sz w:val="20"/>
        </w:rPr>
        <w:t xml:space="preserve">. </w:t>
      </w:r>
      <w:r w:rsidR="00F211E4" w:rsidRPr="00277FE6">
        <w:rPr>
          <w:rFonts w:ascii="Verdana" w:hAnsi="Verdana"/>
          <w:sz w:val="20"/>
        </w:rPr>
        <w:t xml:space="preserve">Es ist </w:t>
      </w:r>
      <w:r w:rsidR="00565E51" w:rsidRPr="00277FE6">
        <w:rPr>
          <w:rFonts w:ascii="Verdana" w:hAnsi="Verdana"/>
          <w:sz w:val="20"/>
        </w:rPr>
        <w:t>wissenschaftlicher</w:t>
      </w:r>
      <w:r w:rsidR="00F211E4" w:rsidRPr="00277FE6">
        <w:rPr>
          <w:rFonts w:ascii="Verdana" w:hAnsi="Verdana"/>
          <w:sz w:val="20"/>
        </w:rPr>
        <w:t xml:space="preserve"> Konsens, dass </w:t>
      </w:r>
      <w:r w:rsidR="00F625E6" w:rsidRPr="00277FE6">
        <w:rPr>
          <w:rFonts w:ascii="Verdana" w:hAnsi="Verdana"/>
          <w:sz w:val="20"/>
        </w:rPr>
        <w:t>Feststoffgehalte keine Aussagen über die Freisetzung</w:t>
      </w:r>
      <w:r w:rsidR="00E22456" w:rsidRPr="00277FE6">
        <w:rPr>
          <w:rFonts w:ascii="Verdana" w:hAnsi="Verdana"/>
          <w:sz w:val="20"/>
        </w:rPr>
        <w:t>, Verfügbarkeit oder</w:t>
      </w:r>
      <w:r w:rsidR="002F7C74" w:rsidRPr="00277FE6">
        <w:rPr>
          <w:rFonts w:ascii="Verdana" w:hAnsi="Verdana"/>
          <w:sz w:val="20"/>
        </w:rPr>
        <w:t xml:space="preserve"> Wechselwirkungen</w:t>
      </w:r>
      <w:r w:rsidR="00E22456" w:rsidRPr="00277FE6">
        <w:rPr>
          <w:rFonts w:ascii="Verdana" w:hAnsi="Verdana"/>
          <w:sz w:val="20"/>
        </w:rPr>
        <w:t xml:space="preserve"> </w:t>
      </w:r>
      <w:r w:rsidR="002F7C74" w:rsidRPr="00277FE6">
        <w:rPr>
          <w:rFonts w:ascii="Verdana" w:hAnsi="Verdana"/>
          <w:sz w:val="20"/>
        </w:rPr>
        <w:t xml:space="preserve">bei </w:t>
      </w:r>
      <w:r w:rsidR="00D8662F" w:rsidRPr="00277FE6">
        <w:rPr>
          <w:rFonts w:ascii="Verdana" w:hAnsi="Verdana"/>
          <w:sz w:val="20"/>
        </w:rPr>
        <w:t>Kontakt</w:t>
      </w:r>
      <w:r w:rsidR="00E22456" w:rsidRPr="00277FE6">
        <w:rPr>
          <w:rFonts w:ascii="Verdana" w:hAnsi="Verdana"/>
          <w:sz w:val="20"/>
        </w:rPr>
        <w:t xml:space="preserve"> </w:t>
      </w:r>
      <w:r w:rsidR="00B86588" w:rsidRPr="00277FE6">
        <w:rPr>
          <w:rFonts w:ascii="Verdana" w:hAnsi="Verdana"/>
          <w:sz w:val="20"/>
        </w:rPr>
        <w:t>mit Menschen</w:t>
      </w:r>
      <w:r w:rsidR="00E22456" w:rsidRPr="00277FE6">
        <w:rPr>
          <w:rFonts w:ascii="Verdana" w:hAnsi="Verdana"/>
          <w:sz w:val="20"/>
        </w:rPr>
        <w:t xml:space="preserve">, Boden </w:t>
      </w:r>
      <w:r w:rsidR="002F7C74" w:rsidRPr="00277FE6">
        <w:rPr>
          <w:rFonts w:ascii="Verdana" w:hAnsi="Verdana"/>
          <w:sz w:val="20"/>
        </w:rPr>
        <w:t>und/oder Wasser zu</w:t>
      </w:r>
      <w:r w:rsidR="00B86588" w:rsidRPr="00277FE6">
        <w:rPr>
          <w:rFonts w:ascii="Verdana" w:hAnsi="Verdana"/>
          <w:sz w:val="20"/>
        </w:rPr>
        <w:t xml:space="preserve"> (z.</w:t>
      </w:r>
      <w:r w:rsidR="007460E4">
        <w:rPr>
          <w:rFonts w:ascii="Verdana" w:hAnsi="Verdana"/>
          <w:sz w:val="20"/>
        </w:rPr>
        <w:t xml:space="preserve"> </w:t>
      </w:r>
      <w:r w:rsidR="00B86588" w:rsidRPr="00277FE6">
        <w:rPr>
          <w:rFonts w:ascii="Verdana" w:hAnsi="Verdana"/>
          <w:sz w:val="20"/>
        </w:rPr>
        <w:t xml:space="preserve">B. </w:t>
      </w:r>
      <w:r w:rsidR="003706AF" w:rsidRPr="00277FE6">
        <w:rPr>
          <w:rStyle w:val="Endnotenzeichen"/>
          <w:rFonts w:ascii="Verdana" w:hAnsi="Verdana"/>
          <w:sz w:val="20"/>
        </w:rPr>
        <w:endnoteReference w:id="15"/>
      </w:r>
      <w:r w:rsidR="00243AEE" w:rsidRPr="00277FE6">
        <w:rPr>
          <w:rFonts w:ascii="Verdana" w:hAnsi="Verdana"/>
          <w:sz w:val="20"/>
        </w:rPr>
        <w:t xml:space="preserve">, </w:t>
      </w:r>
      <w:bookmarkStart w:id="3" w:name="_Ref181788658"/>
      <w:r w:rsidR="00F671DB" w:rsidRPr="00277FE6">
        <w:rPr>
          <w:rStyle w:val="Endnotenzeichen"/>
          <w:rFonts w:ascii="Verdana" w:hAnsi="Verdana"/>
          <w:sz w:val="20"/>
        </w:rPr>
        <w:endnoteReference w:id="16"/>
      </w:r>
      <w:bookmarkEnd w:id="3"/>
      <w:r w:rsidR="00B86588" w:rsidRPr="00277FE6">
        <w:rPr>
          <w:rFonts w:ascii="Verdana" w:hAnsi="Verdana"/>
          <w:sz w:val="20"/>
        </w:rPr>
        <w:t>)</w:t>
      </w:r>
      <w:r w:rsidR="00DC3ED4" w:rsidRPr="00277FE6">
        <w:rPr>
          <w:rFonts w:ascii="Verdana" w:hAnsi="Verdana"/>
          <w:sz w:val="20"/>
        </w:rPr>
        <w:t xml:space="preserve"> </w:t>
      </w:r>
      <w:r w:rsidR="00653DBF" w:rsidRPr="00277FE6">
        <w:rPr>
          <w:rFonts w:ascii="Verdana" w:hAnsi="Verdana"/>
          <w:sz w:val="20"/>
        </w:rPr>
        <w:t>zulassen</w:t>
      </w:r>
      <w:r w:rsidR="002F7C74" w:rsidRPr="00277FE6">
        <w:rPr>
          <w:rFonts w:ascii="Verdana" w:hAnsi="Verdana"/>
          <w:sz w:val="20"/>
        </w:rPr>
        <w:t xml:space="preserve">. </w:t>
      </w:r>
      <w:r w:rsidR="00021060" w:rsidRPr="00277FE6">
        <w:rPr>
          <w:rFonts w:ascii="Verdana" w:hAnsi="Verdana"/>
          <w:sz w:val="20"/>
        </w:rPr>
        <w:t>Es</w:t>
      </w:r>
      <w:r w:rsidR="0031576A" w:rsidRPr="00277FE6">
        <w:rPr>
          <w:rFonts w:ascii="Verdana" w:hAnsi="Verdana"/>
          <w:sz w:val="20"/>
        </w:rPr>
        <w:t xml:space="preserve"> gibt keinerlei wissenschaftlichen Belege dafür, dass die Überschreitung </w:t>
      </w:r>
      <w:r w:rsidR="00021060" w:rsidRPr="00277FE6">
        <w:rPr>
          <w:rFonts w:ascii="Verdana" w:hAnsi="Verdana"/>
          <w:sz w:val="20"/>
        </w:rPr>
        <w:t xml:space="preserve">der in den </w:t>
      </w:r>
      <w:proofErr w:type="spellStart"/>
      <w:r w:rsidR="00021060" w:rsidRPr="00277FE6">
        <w:rPr>
          <w:rFonts w:ascii="Verdana" w:hAnsi="Verdana"/>
          <w:sz w:val="20"/>
        </w:rPr>
        <w:t>ABuG</w:t>
      </w:r>
      <w:proofErr w:type="spellEnd"/>
      <w:r w:rsidR="00021060" w:rsidRPr="00277FE6">
        <w:rPr>
          <w:rFonts w:ascii="Verdana" w:hAnsi="Verdana"/>
          <w:sz w:val="20"/>
        </w:rPr>
        <w:t xml:space="preserve"> festgelegten</w:t>
      </w:r>
      <w:r w:rsidR="0031576A" w:rsidRPr="00277FE6">
        <w:rPr>
          <w:rFonts w:ascii="Verdana" w:hAnsi="Verdana"/>
          <w:sz w:val="20"/>
        </w:rPr>
        <w:t xml:space="preserve"> Feststoffgrenzwerte</w:t>
      </w:r>
      <w:r w:rsidR="00DD1461" w:rsidRPr="00277FE6">
        <w:rPr>
          <w:rFonts w:ascii="Verdana" w:hAnsi="Verdana"/>
          <w:sz w:val="20"/>
        </w:rPr>
        <w:t>n</w:t>
      </w:r>
      <w:r w:rsidR="0031576A" w:rsidRPr="00277FE6">
        <w:rPr>
          <w:rFonts w:ascii="Verdana" w:hAnsi="Verdana"/>
          <w:sz w:val="20"/>
        </w:rPr>
        <w:t xml:space="preserve"> beim Einsatzstoff bei einer Verwendung im Beton die Schutzgüter Mensch, Boden und Grundwasser beeinträchtigt.</w:t>
      </w:r>
      <w:r w:rsidR="00790D73" w:rsidRPr="00277FE6">
        <w:rPr>
          <w:rFonts w:ascii="Verdana" w:hAnsi="Verdana"/>
          <w:sz w:val="20"/>
        </w:rPr>
        <w:t xml:space="preserve"> </w:t>
      </w:r>
      <w:r w:rsidR="007460E4">
        <w:rPr>
          <w:rFonts w:ascii="Verdana" w:hAnsi="Verdana"/>
          <w:sz w:val="20"/>
        </w:rPr>
        <w:t>Im Übrigen</w:t>
      </w:r>
      <w:r w:rsidR="00F23CAC" w:rsidRPr="00277FE6">
        <w:rPr>
          <w:rFonts w:ascii="Verdana" w:hAnsi="Verdana"/>
          <w:sz w:val="20"/>
        </w:rPr>
        <w:t xml:space="preserve"> </w:t>
      </w:r>
      <w:r w:rsidR="00790D73" w:rsidRPr="00277FE6">
        <w:rPr>
          <w:rFonts w:ascii="Verdana" w:hAnsi="Verdana"/>
          <w:sz w:val="20"/>
        </w:rPr>
        <w:t xml:space="preserve">führt die </w:t>
      </w:r>
      <w:r w:rsidR="00222FB1" w:rsidRPr="00277FE6">
        <w:rPr>
          <w:rFonts w:ascii="Verdana" w:hAnsi="Verdana"/>
          <w:sz w:val="20"/>
        </w:rPr>
        <w:t>derzeitige Praxis, sowohl die einzelnen Ausgangsstoffe als auch das Endprodukt zu prüfen, zu einer unnötigen Doppelbelastung</w:t>
      </w:r>
      <w:r w:rsidR="007460E4">
        <w:rPr>
          <w:rFonts w:ascii="Verdana" w:hAnsi="Verdana"/>
          <w:sz w:val="20"/>
        </w:rPr>
        <w:t xml:space="preserve"> für die beteiligte Wirtschaft</w:t>
      </w:r>
      <w:r w:rsidR="00222FB1" w:rsidRPr="00277FE6">
        <w:rPr>
          <w:rFonts w:ascii="Verdana" w:hAnsi="Verdana"/>
          <w:sz w:val="20"/>
        </w:rPr>
        <w:t xml:space="preserve">, ohne zusätzlichen </w:t>
      </w:r>
      <w:r w:rsidR="007460E4">
        <w:rPr>
          <w:rFonts w:ascii="Verdana" w:hAnsi="Verdana"/>
          <w:sz w:val="20"/>
        </w:rPr>
        <w:t>G</w:t>
      </w:r>
      <w:r w:rsidR="007460E4" w:rsidRPr="00277FE6">
        <w:rPr>
          <w:rFonts w:ascii="Verdana" w:hAnsi="Verdana"/>
          <w:sz w:val="20"/>
        </w:rPr>
        <w:t xml:space="preserve">ewinn </w:t>
      </w:r>
      <w:r w:rsidR="00222FB1" w:rsidRPr="00277FE6">
        <w:rPr>
          <w:rFonts w:ascii="Verdana" w:hAnsi="Verdana"/>
          <w:sz w:val="20"/>
        </w:rPr>
        <w:t xml:space="preserve">in Bezug auf Umwelt- oder Gesundheitsrisiken. </w:t>
      </w:r>
    </w:p>
    <w:p w14:paraId="7F51177C" w14:textId="77777777" w:rsidR="00B67562" w:rsidRPr="00277FE6" w:rsidRDefault="00B67562" w:rsidP="008247DA">
      <w:pPr>
        <w:keepNext/>
        <w:widowControl w:val="0"/>
        <w:spacing w:after="120"/>
        <w:outlineLvl w:val="0"/>
        <w:rPr>
          <w:rFonts w:ascii="Verdana" w:hAnsi="Verdana"/>
          <w:sz w:val="20"/>
        </w:rPr>
      </w:pPr>
    </w:p>
    <w:p w14:paraId="1E77B388" w14:textId="37245166" w:rsidR="004D70EF" w:rsidRPr="0058226D" w:rsidRDefault="004D70EF" w:rsidP="008F44A4">
      <w:pPr>
        <w:pStyle w:val="berschrift1"/>
        <w:ind w:left="322" w:hanging="322"/>
        <w:rPr>
          <w:sz w:val="24"/>
          <w:szCs w:val="24"/>
        </w:rPr>
      </w:pPr>
      <w:r w:rsidRPr="0058226D">
        <w:rPr>
          <w:sz w:val="24"/>
          <w:szCs w:val="24"/>
        </w:rPr>
        <w:t xml:space="preserve"> Forderungen zur Anpassung der Regelungen</w:t>
      </w:r>
      <w:r w:rsidR="007460E4" w:rsidRPr="0058226D">
        <w:rPr>
          <w:sz w:val="24"/>
          <w:szCs w:val="24"/>
        </w:rPr>
        <w:t>:</w:t>
      </w:r>
      <w:r w:rsidR="007460E4">
        <w:rPr>
          <w:sz w:val="24"/>
          <w:szCs w:val="24"/>
        </w:rPr>
        <w:br/>
      </w:r>
      <w:r w:rsidR="009157C6" w:rsidRPr="0058226D">
        <w:rPr>
          <w:sz w:val="24"/>
          <w:szCs w:val="24"/>
        </w:rPr>
        <w:t>Fokus auf das Endprodukt</w:t>
      </w:r>
    </w:p>
    <w:p w14:paraId="26FD102E" w14:textId="02EE2B19" w:rsidR="00376163" w:rsidRDefault="00376163" w:rsidP="00805B35">
      <w:pPr>
        <w:spacing w:after="120"/>
        <w:rPr>
          <w:rFonts w:ascii="Verdana" w:hAnsi="Verdana"/>
          <w:sz w:val="20"/>
        </w:rPr>
      </w:pPr>
      <w:r w:rsidRPr="00376163">
        <w:rPr>
          <w:rFonts w:ascii="Verdana" w:hAnsi="Verdana"/>
          <w:sz w:val="20"/>
        </w:rPr>
        <w:t>Um die effektive Nutzung von Sekundärrohstoffen in Bauprodukten zu ermöglichen und die Ziele der Kreislaufwirtschaft zu fördern, sind gezielte Anpassungen der bestehenden Regelungen erforderlich.</w:t>
      </w:r>
    </w:p>
    <w:p w14:paraId="0ABB225F" w14:textId="07537FA3" w:rsidR="00B86972" w:rsidRDefault="00176740" w:rsidP="00805B35">
      <w:pPr>
        <w:spacing w:after="120"/>
        <w:rPr>
          <w:rFonts w:ascii="Verdana" w:hAnsi="Verdana"/>
          <w:sz w:val="20"/>
        </w:rPr>
      </w:pPr>
      <w:r w:rsidRPr="00176740">
        <w:rPr>
          <w:rFonts w:ascii="Verdana" w:hAnsi="Verdana"/>
          <w:sz w:val="20"/>
        </w:rPr>
        <w:t xml:space="preserve">Die Umweltverträglichkeit sollte primär am fertigen Produkt – dem Beton – und nicht an den einzelnen Betonkomponenten gemessen werden. Die Umweltauswirkungen von Beton hängen nicht von den Eigenschaften der einzelnen Ausgangsstoffe ab, sondern davon, wie diese im fertigen Beton miteinander reagieren. Potenzielle Schadstoffe, die in den Ausgangsmaterialien enthalten sein könnten, sind im fertigen Beton gebunden und/oder neutralisiert, sodass sie keine tatsächliche Gefahr darstellen. </w:t>
      </w:r>
      <w:r w:rsidR="00B86972" w:rsidRPr="00B86972">
        <w:rPr>
          <w:rFonts w:ascii="Verdana" w:hAnsi="Verdana"/>
          <w:sz w:val="20"/>
        </w:rPr>
        <w:t xml:space="preserve">Nur der Beton in seiner </w:t>
      </w:r>
      <w:r w:rsidR="00B86972" w:rsidRPr="00B86972">
        <w:rPr>
          <w:rFonts w:ascii="Verdana" w:hAnsi="Verdana"/>
          <w:sz w:val="20"/>
        </w:rPr>
        <w:lastRenderedPageBreak/>
        <w:t xml:space="preserve">endgültigen Form tritt direkt mit der Umwelt in Kontakt und bestimmt die tatsächliche Belastung für Boden, Wasser und Luft – nicht die Rohstoffe in ihrem </w:t>
      </w:r>
      <w:r w:rsidR="007460E4" w:rsidRPr="00B86972">
        <w:rPr>
          <w:rFonts w:ascii="Verdana" w:hAnsi="Verdana"/>
          <w:sz w:val="20"/>
        </w:rPr>
        <w:t>un</w:t>
      </w:r>
      <w:r w:rsidR="007460E4">
        <w:rPr>
          <w:rFonts w:ascii="Verdana" w:hAnsi="Verdana"/>
          <w:sz w:val="20"/>
        </w:rPr>
        <w:t>verarbeitet</w:t>
      </w:r>
      <w:r w:rsidR="007460E4" w:rsidRPr="00B86972">
        <w:rPr>
          <w:rFonts w:ascii="Verdana" w:hAnsi="Verdana"/>
          <w:sz w:val="20"/>
        </w:rPr>
        <w:t xml:space="preserve">en </w:t>
      </w:r>
      <w:r w:rsidR="00B86972" w:rsidRPr="00B86972">
        <w:rPr>
          <w:rFonts w:ascii="Verdana" w:hAnsi="Verdana"/>
          <w:sz w:val="20"/>
        </w:rPr>
        <w:t>Zustand.</w:t>
      </w:r>
    </w:p>
    <w:p w14:paraId="3A63FDFB" w14:textId="1B64B6D1" w:rsidR="00B67562" w:rsidRDefault="00B67562" w:rsidP="00805B35">
      <w:pPr>
        <w:spacing w:after="120"/>
        <w:rPr>
          <w:rFonts w:ascii="Verdana" w:hAnsi="Verdana"/>
          <w:sz w:val="20"/>
        </w:rPr>
      </w:pPr>
      <w:r w:rsidRPr="003D1609">
        <w:rPr>
          <w:rFonts w:ascii="Verdana" w:hAnsi="Verdana"/>
          <w:sz w:val="20"/>
        </w:rPr>
        <w:t xml:space="preserve">Eine ganzheitliche Betrachtung steht </w:t>
      </w:r>
      <w:r w:rsidR="00F5116E">
        <w:rPr>
          <w:rFonts w:ascii="Verdana" w:hAnsi="Verdana"/>
          <w:sz w:val="20"/>
        </w:rPr>
        <w:t xml:space="preserve">zudem </w:t>
      </w:r>
      <w:r w:rsidRPr="003D1609">
        <w:rPr>
          <w:rFonts w:ascii="Verdana" w:hAnsi="Verdana"/>
          <w:sz w:val="20"/>
        </w:rPr>
        <w:t xml:space="preserve">im Einklang mit den Prinzipien der Kreislaufwirtschaft. Sie fördert die effiziente Nutzung von Ressourcen, indem sie den Fokus auf das Gesamtsystem legt und verhindert, dass Rohstoffe voreilig ausgeschlossen werden, </w:t>
      </w:r>
      <w:r w:rsidRPr="00A73BA6">
        <w:rPr>
          <w:rFonts w:ascii="Verdana" w:hAnsi="Verdana"/>
          <w:sz w:val="20"/>
        </w:rPr>
        <w:t>ohne dass dies einen Mehrwert für den Umweltschutz darstellt.</w:t>
      </w:r>
      <w:r>
        <w:rPr>
          <w:rFonts w:ascii="Verdana" w:hAnsi="Verdana"/>
          <w:sz w:val="20"/>
        </w:rPr>
        <w:t xml:space="preserve"> </w:t>
      </w:r>
    </w:p>
    <w:p w14:paraId="33BE0D47" w14:textId="7979DD52" w:rsidR="00A87E4A" w:rsidRDefault="00A87E4A" w:rsidP="00805B35">
      <w:pPr>
        <w:spacing w:after="120"/>
        <w:rPr>
          <w:rFonts w:ascii="Verdana" w:hAnsi="Verdana"/>
          <w:sz w:val="20"/>
        </w:rPr>
      </w:pPr>
      <w:r w:rsidRPr="00A87E4A">
        <w:rPr>
          <w:rFonts w:ascii="Verdana" w:hAnsi="Verdana"/>
          <w:sz w:val="20"/>
        </w:rPr>
        <w:t xml:space="preserve">Für eine sachgerechte Bewertung eignet sich das europäisch standardisierte </w:t>
      </w:r>
      <w:proofErr w:type="spellStart"/>
      <w:r w:rsidRPr="00A87E4A">
        <w:rPr>
          <w:rFonts w:ascii="Verdana" w:hAnsi="Verdana"/>
          <w:sz w:val="20"/>
        </w:rPr>
        <w:t>Trogverfahren</w:t>
      </w:r>
      <w:proofErr w:type="spellEnd"/>
      <w:r w:rsidRPr="00A87E4A">
        <w:rPr>
          <w:rFonts w:ascii="Verdana" w:hAnsi="Verdana"/>
          <w:sz w:val="20"/>
        </w:rPr>
        <w:t xml:space="preserve"> gemäß DIN EN 16637-2, das </w:t>
      </w:r>
      <w:r w:rsidR="00B67562">
        <w:rPr>
          <w:rFonts w:ascii="Verdana" w:hAnsi="Verdana"/>
          <w:sz w:val="20"/>
        </w:rPr>
        <w:t xml:space="preserve">für die Bewertung des Betons </w:t>
      </w:r>
      <w:r w:rsidRPr="00A87E4A">
        <w:rPr>
          <w:rFonts w:ascii="Verdana" w:hAnsi="Verdana"/>
          <w:sz w:val="20"/>
        </w:rPr>
        <w:t xml:space="preserve">bereits in </w:t>
      </w:r>
      <w:r w:rsidR="00B67562" w:rsidRPr="00A87E4A">
        <w:rPr>
          <w:rFonts w:ascii="Verdana" w:hAnsi="Verdana"/>
          <w:sz w:val="20"/>
        </w:rPr>
        <w:t>de</w:t>
      </w:r>
      <w:r w:rsidR="00B67562">
        <w:rPr>
          <w:rFonts w:ascii="Verdana" w:hAnsi="Verdana"/>
          <w:sz w:val="20"/>
        </w:rPr>
        <w:t>n</w:t>
      </w:r>
      <w:r w:rsidR="00B67562" w:rsidRPr="00A87E4A">
        <w:rPr>
          <w:rFonts w:ascii="Verdana" w:hAnsi="Verdana"/>
          <w:sz w:val="20"/>
        </w:rPr>
        <w:t xml:space="preserve"> </w:t>
      </w:r>
      <w:r w:rsidRPr="00A87E4A">
        <w:rPr>
          <w:rFonts w:ascii="Verdana" w:hAnsi="Verdana"/>
          <w:sz w:val="20"/>
        </w:rPr>
        <w:t xml:space="preserve">aktuellen </w:t>
      </w:r>
      <w:proofErr w:type="spellStart"/>
      <w:r w:rsidRPr="00A87E4A">
        <w:rPr>
          <w:rFonts w:ascii="Verdana" w:hAnsi="Verdana"/>
          <w:sz w:val="20"/>
        </w:rPr>
        <w:t>ABuG</w:t>
      </w:r>
      <w:proofErr w:type="spellEnd"/>
      <w:r w:rsidRPr="00A87E4A">
        <w:rPr>
          <w:rFonts w:ascii="Verdana" w:hAnsi="Verdana"/>
          <w:sz w:val="20"/>
        </w:rPr>
        <w:t xml:space="preserve"> verankert ist. Die durch das DIBt festgelegten Grenzwerte, die auf belastbaren Modellrechnungen basieren, bieten eine verlässliche Grundlage zur Beurteilung der Auswirkungen auf das Grundwasser.</w:t>
      </w:r>
    </w:p>
    <w:p w14:paraId="6FAFF6DC" w14:textId="295451EE" w:rsidR="006B0100" w:rsidRPr="0009589B" w:rsidRDefault="006B0100" w:rsidP="00805B35">
      <w:pPr>
        <w:spacing w:after="120"/>
        <w:rPr>
          <w:rFonts w:ascii="Verdana" w:hAnsi="Verdana"/>
          <w:sz w:val="20"/>
        </w:rPr>
      </w:pPr>
      <w:r w:rsidRPr="0009589B">
        <w:rPr>
          <w:rFonts w:ascii="Verdana" w:hAnsi="Verdana"/>
          <w:sz w:val="20"/>
        </w:rPr>
        <w:t xml:space="preserve">Hersteller von Bauprodukten haben klare technische Anforderungsprofile für den Einsatz von Zuschlagstoffen in </w:t>
      </w:r>
      <w:r w:rsidR="00700542">
        <w:rPr>
          <w:rFonts w:ascii="Verdana" w:hAnsi="Verdana"/>
          <w:sz w:val="20"/>
        </w:rPr>
        <w:t>i</w:t>
      </w:r>
      <w:r w:rsidRPr="0009589B">
        <w:rPr>
          <w:rFonts w:ascii="Verdana" w:hAnsi="Verdana"/>
          <w:sz w:val="20"/>
        </w:rPr>
        <w:t xml:space="preserve">hren Produkten. Dies gilt für Primär- </w:t>
      </w:r>
      <w:r w:rsidR="007460E4">
        <w:rPr>
          <w:rFonts w:ascii="Verdana" w:hAnsi="Verdana"/>
          <w:sz w:val="20"/>
        </w:rPr>
        <w:t>wie für</w:t>
      </w:r>
      <w:r w:rsidRPr="0009589B">
        <w:rPr>
          <w:rFonts w:ascii="Verdana" w:hAnsi="Verdana"/>
          <w:sz w:val="20"/>
        </w:rPr>
        <w:t xml:space="preserve"> Sekundärrohstoffe gleichermaßen. Diesen Anforderungen werden sich </w:t>
      </w:r>
      <w:r w:rsidR="00A5411D">
        <w:rPr>
          <w:rFonts w:ascii="Verdana" w:hAnsi="Verdana"/>
          <w:sz w:val="20"/>
        </w:rPr>
        <w:t>Sekundärrohstoffe</w:t>
      </w:r>
      <w:r w:rsidRPr="0009589B">
        <w:rPr>
          <w:rFonts w:ascii="Verdana" w:hAnsi="Verdana"/>
          <w:sz w:val="20"/>
        </w:rPr>
        <w:t xml:space="preserve"> selbstverständlich weiterhin unterziehen und diese falls notwendig durch ergänzende Aufbereitungsschritte einhalten. Einschlägige Forschungsprojekte der letzten Jahre zeigen, dass ein Einhalten der technischen Anforderungsprofile möglich </w:t>
      </w:r>
      <w:r w:rsidR="00700542">
        <w:rPr>
          <w:rFonts w:ascii="Verdana" w:hAnsi="Verdana"/>
          <w:sz w:val="20"/>
        </w:rPr>
        <w:t>ist.</w:t>
      </w:r>
    </w:p>
    <w:p w14:paraId="64262F34" w14:textId="20F06E49" w:rsidR="00B67562" w:rsidRDefault="00B67562" w:rsidP="003D1609">
      <w:pPr>
        <w:rPr>
          <w:rFonts w:ascii="Verdana" w:hAnsi="Verdana"/>
          <w:sz w:val="20"/>
        </w:rPr>
      </w:pPr>
    </w:p>
    <w:p w14:paraId="1F763A6B" w14:textId="532C8B20" w:rsidR="00216F35" w:rsidRPr="00931CE0" w:rsidRDefault="00216F35" w:rsidP="00216F35">
      <w:pPr>
        <w:pStyle w:val="berschrift1"/>
        <w:ind w:left="0"/>
        <w:rPr>
          <w:sz w:val="24"/>
          <w:szCs w:val="24"/>
        </w:rPr>
      </w:pPr>
      <w:r w:rsidRPr="00931CE0">
        <w:rPr>
          <w:sz w:val="24"/>
          <w:szCs w:val="24"/>
        </w:rPr>
        <w:t xml:space="preserve">Bewertung der Auswirkungen </w:t>
      </w:r>
      <w:proofErr w:type="gramStart"/>
      <w:r w:rsidRPr="00931CE0">
        <w:rPr>
          <w:sz w:val="24"/>
          <w:szCs w:val="24"/>
        </w:rPr>
        <w:t>auf Mensch</w:t>
      </w:r>
      <w:proofErr w:type="gramEnd"/>
      <w:r w:rsidRPr="00931CE0">
        <w:rPr>
          <w:sz w:val="24"/>
          <w:szCs w:val="24"/>
        </w:rPr>
        <w:t xml:space="preserve"> und Umwelt </w:t>
      </w:r>
    </w:p>
    <w:p w14:paraId="054DE3ED" w14:textId="5A2103C5" w:rsidR="000C1411" w:rsidRDefault="000C1411" w:rsidP="000C1411">
      <w:pPr>
        <w:spacing w:after="120"/>
        <w:rPr>
          <w:rFonts w:ascii="Verdana" w:hAnsi="Verdana"/>
          <w:sz w:val="20"/>
        </w:rPr>
      </w:pPr>
      <w:r w:rsidRPr="000C08D8">
        <w:rPr>
          <w:rFonts w:ascii="Verdana" w:hAnsi="Verdana"/>
          <w:sz w:val="20"/>
        </w:rPr>
        <w:t xml:space="preserve">Die Bewertungskriterien beim Einsatz von Materialien </w:t>
      </w:r>
      <w:r w:rsidR="00387775">
        <w:rPr>
          <w:rFonts w:ascii="Verdana" w:hAnsi="Verdana"/>
          <w:sz w:val="20"/>
        </w:rPr>
        <w:t>in Bauprodukten</w:t>
      </w:r>
      <w:r w:rsidRPr="000C08D8">
        <w:rPr>
          <w:rFonts w:ascii="Verdana" w:hAnsi="Verdana"/>
          <w:sz w:val="20"/>
        </w:rPr>
        <w:t xml:space="preserve"> umfassen im Wesentlichen drei Aspekte:</w:t>
      </w:r>
      <w:r>
        <w:rPr>
          <w:rFonts w:ascii="Verdana" w:hAnsi="Verdana"/>
          <w:sz w:val="20"/>
        </w:rPr>
        <w:t xml:space="preserve"> (1)</w:t>
      </w:r>
      <w:r w:rsidRPr="000C08D8">
        <w:rPr>
          <w:rFonts w:ascii="Verdana" w:hAnsi="Verdana"/>
          <w:sz w:val="20"/>
        </w:rPr>
        <w:t xml:space="preserve"> Schutz von B</w:t>
      </w:r>
      <w:r w:rsidR="00C340F0">
        <w:rPr>
          <w:rFonts w:ascii="Verdana" w:hAnsi="Verdana"/>
          <w:sz w:val="20"/>
        </w:rPr>
        <w:t>o</w:t>
      </w:r>
      <w:r w:rsidRPr="000C08D8">
        <w:rPr>
          <w:rFonts w:ascii="Verdana" w:hAnsi="Verdana"/>
          <w:sz w:val="20"/>
        </w:rPr>
        <w:t xml:space="preserve">den und Grundwasser, </w:t>
      </w:r>
      <w:r>
        <w:rPr>
          <w:rFonts w:ascii="Verdana" w:hAnsi="Verdana"/>
          <w:sz w:val="20"/>
        </w:rPr>
        <w:t xml:space="preserve">(2) </w:t>
      </w:r>
      <w:r w:rsidRPr="000C08D8">
        <w:rPr>
          <w:rFonts w:ascii="Verdana" w:hAnsi="Verdana"/>
          <w:sz w:val="20"/>
        </w:rPr>
        <w:t xml:space="preserve">Schutz des Menschen und </w:t>
      </w:r>
      <w:r>
        <w:rPr>
          <w:rFonts w:ascii="Verdana" w:hAnsi="Verdana"/>
          <w:sz w:val="20"/>
        </w:rPr>
        <w:t xml:space="preserve">(3) </w:t>
      </w:r>
      <w:r w:rsidRPr="000C08D8">
        <w:rPr>
          <w:rFonts w:ascii="Verdana" w:hAnsi="Verdana"/>
          <w:sz w:val="20"/>
        </w:rPr>
        <w:t>Vermeidung von Schadstoffanreicherung im Wertstoffkreislauf, auch über den Lebenszyklus hinaus</w:t>
      </w:r>
      <w:r>
        <w:rPr>
          <w:rFonts w:ascii="Verdana" w:hAnsi="Verdana"/>
          <w:sz w:val="20"/>
        </w:rPr>
        <w:t xml:space="preserve"> (Recyclingfähigkeit)</w:t>
      </w:r>
      <w:r w:rsidRPr="000C08D8">
        <w:rPr>
          <w:rFonts w:ascii="Verdana" w:hAnsi="Verdana"/>
          <w:sz w:val="20"/>
        </w:rPr>
        <w:t>.</w:t>
      </w:r>
    </w:p>
    <w:p w14:paraId="0365DBA9" w14:textId="77777777" w:rsidR="00B67562" w:rsidRDefault="00B67562" w:rsidP="000C1411">
      <w:pPr>
        <w:spacing w:after="120"/>
        <w:rPr>
          <w:rFonts w:ascii="Verdana" w:hAnsi="Verdana"/>
          <w:sz w:val="20"/>
        </w:rPr>
      </w:pPr>
    </w:p>
    <w:p w14:paraId="79E898BC" w14:textId="16678CFA" w:rsidR="00447E3B" w:rsidRPr="00547288" w:rsidRDefault="00447E3B" w:rsidP="00447E3B">
      <w:pPr>
        <w:autoSpaceDE w:val="0"/>
        <w:autoSpaceDN w:val="0"/>
        <w:adjustRightInd w:val="0"/>
        <w:spacing w:after="120"/>
        <w:rPr>
          <w:rFonts w:ascii="Verdana" w:hAnsi="Verdana"/>
          <w:b/>
          <w:bCs/>
          <w:sz w:val="20"/>
        </w:rPr>
      </w:pPr>
      <w:r w:rsidRPr="00547288">
        <w:rPr>
          <w:rFonts w:ascii="Verdana" w:hAnsi="Verdana"/>
          <w:b/>
          <w:bCs/>
          <w:sz w:val="20"/>
        </w:rPr>
        <w:t>Schutz von B</w:t>
      </w:r>
      <w:r w:rsidR="00C340F0">
        <w:rPr>
          <w:rFonts w:ascii="Verdana" w:hAnsi="Verdana"/>
          <w:b/>
          <w:bCs/>
          <w:sz w:val="20"/>
        </w:rPr>
        <w:t>o</w:t>
      </w:r>
      <w:r w:rsidRPr="00547288">
        <w:rPr>
          <w:rFonts w:ascii="Verdana" w:hAnsi="Verdana"/>
          <w:b/>
          <w:bCs/>
          <w:sz w:val="20"/>
        </w:rPr>
        <w:t>den und Grundwasser</w:t>
      </w:r>
    </w:p>
    <w:p w14:paraId="1348F781" w14:textId="4D48F712" w:rsidR="00F30A7D" w:rsidRPr="00277FE6" w:rsidRDefault="00307DA7" w:rsidP="003662FB">
      <w:pPr>
        <w:autoSpaceDE w:val="0"/>
        <w:autoSpaceDN w:val="0"/>
        <w:adjustRightInd w:val="0"/>
        <w:spacing w:after="120"/>
        <w:rPr>
          <w:rFonts w:ascii="Verdana" w:hAnsi="Verdana"/>
          <w:sz w:val="20"/>
        </w:rPr>
      </w:pPr>
      <w:r w:rsidRPr="00277FE6">
        <w:rPr>
          <w:rFonts w:ascii="Verdana" w:hAnsi="Verdana"/>
          <w:sz w:val="20"/>
        </w:rPr>
        <w:t xml:space="preserve">Ein </w:t>
      </w:r>
      <w:r w:rsidR="005D00D9" w:rsidRPr="00277FE6">
        <w:rPr>
          <w:rFonts w:ascii="Verdana" w:hAnsi="Verdana"/>
          <w:sz w:val="20"/>
        </w:rPr>
        <w:t xml:space="preserve">Bauprodukt, das unter </w:t>
      </w:r>
      <w:r w:rsidR="00497479" w:rsidRPr="00277FE6">
        <w:rPr>
          <w:rFonts w:ascii="Verdana" w:hAnsi="Verdana"/>
          <w:sz w:val="20"/>
        </w:rPr>
        <w:t>Anwendung</w:t>
      </w:r>
      <w:r w:rsidR="005D00D9" w:rsidRPr="00277FE6">
        <w:rPr>
          <w:rFonts w:ascii="Verdana" w:hAnsi="Verdana"/>
          <w:sz w:val="20"/>
        </w:rPr>
        <w:t xml:space="preserve"> des</w:t>
      </w:r>
      <w:r w:rsidR="00497479" w:rsidRPr="00277FE6">
        <w:rPr>
          <w:rFonts w:ascii="Verdana" w:hAnsi="Verdana"/>
          <w:sz w:val="20"/>
        </w:rPr>
        <w:t xml:space="preserve"> in den </w:t>
      </w:r>
      <w:proofErr w:type="spellStart"/>
      <w:r w:rsidR="00497479" w:rsidRPr="00277FE6">
        <w:rPr>
          <w:rFonts w:ascii="Verdana" w:hAnsi="Verdana"/>
          <w:sz w:val="20"/>
        </w:rPr>
        <w:t>ABuG</w:t>
      </w:r>
      <w:proofErr w:type="spellEnd"/>
      <w:r w:rsidR="00497479" w:rsidRPr="00277FE6">
        <w:rPr>
          <w:rFonts w:ascii="Verdana" w:hAnsi="Verdana"/>
          <w:sz w:val="20"/>
        </w:rPr>
        <w:t xml:space="preserve"> bereits verankerten</w:t>
      </w:r>
      <w:r w:rsidR="005D00D9" w:rsidRPr="00277FE6">
        <w:rPr>
          <w:rFonts w:ascii="Verdana" w:hAnsi="Verdana"/>
          <w:sz w:val="20"/>
        </w:rPr>
        <w:t xml:space="preserve"> </w:t>
      </w:r>
      <w:proofErr w:type="spellStart"/>
      <w:r w:rsidR="00497479" w:rsidRPr="00277FE6">
        <w:rPr>
          <w:rFonts w:ascii="Verdana" w:hAnsi="Verdana"/>
          <w:sz w:val="20"/>
        </w:rPr>
        <w:t>Trogverfahrens</w:t>
      </w:r>
      <w:proofErr w:type="spellEnd"/>
      <w:r w:rsidR="00497479" w:rsidRPr="00277FE6">
        <w:rPr>
          <w:rFonts w:ascii="Verdana" w:hAnsi="Verdana"/>
          <w:sz w:val="20"/>
        </w:rPr>
        <w:t xml:space="preserve"> DIN EN 16637-2 </w:t>
      </w:r>
      <w:r w:rsidR="00205FEA" w:rsidRPr="00277FE6">
        <w:rPr>
          <w:rFonts w:ascii="Verdana" w:hAnsi="Verdana"/>
          <w:sz w:val="20"/>
        </w:rPr>
        <w:t>untersucht wird und die für diesen Test festgelegten Grenzwerte einhält</w:t>
      </w:r>
      <w:r w:rsidR="00291A8B" w:rsidRPr="00277FE6">
        <w:rPr>
          <w:rFonts w:ascii="Verdana" w:hAnsi="Verdana"/>
          <w:sz w:val="20"/>
        </w:rPr>
        <w:t>, stellt kein Risiko für den Boden und Grundwasser dar</w:t>
      </w:r>
      <w:r w:rsidR="007D195A" w:rsidRPr="00277FE6">
        <w:rPr>
          <w:rFonts w:ascii="Verdana" w:hAnsi="Verdana"/>
          <w:sz w:val="20"/>
        </w:rPr>
        <w:t xml:space="preserve">. Die Grenzwerte </w:t>
      </w:r>
      <w:r w:rsidR="00972CB4" w:rsidRPr="00277FE6">
        <w:rPr>
          <w:rFonts w:ascii="Verdana" w:hAnsi="Verdana"/>
          <w:sz w:val="20"/>
        </w:rPr>
        <w:t xml:space="preserve">sind wissenschaftlich fundiert und </w:t>
      </w:r>
      <w:r w:rsidR="003662FB" w:rsidRPr="00277FE6">
        <w:rPr>
          <w:rFonts w:ascii="Verdana" w:hAnsi="Verdana"/>
          <w:sz w:val="20"/>
        </w:rPr>
        <w:t>wurden gemäß den DIBt-Grundsätzen</w:t>
      </w:r>
      <w:r w:rsidR="00855EE8" w:rsidRPr="00277FE6">
        <w:rPr>
          <w:rFonts w:ascii="Verdana" w:hAnsi="Verdana"/>
          <w:sz w:val="20"/>
        </w:rPr>
        <w:t xml:space="preserve"> [</w:t>
      </w:r>
      <w:r w:rsidR="00855EE8" w:rsidRPr="00277FE6">
        <w:rPr>
          <w:rStyle w:val="Endnotenzeichen"/>
          <w:rFonts w:ascii="Verdana" w:hAnsi="Verdana"/>
          <w:sz w:val="20"/>
        </w:rPr>
        <w:endnoteReference w:id="17"/>
      </w:r>
      <w:r w:rsidR="00855EE8" w:rsidRPr="00277FE6">
        <w:rPr>
          <w:rFonts w:ascii="Verdana" w:hAnsi="Verdana"/>
          <w:sz w:val="20"/>
        </w:rPr>
        <w:t>]</w:t>
      </w:r>
      <w:r w:rsidR="003662FB" w:rsidRPr="00277FE6">
        <w:rPr>
          <w:rFonts w:ascii="Verdana" w:hAnsi="Verdana"/>
          <w:sz w:val="20"/>
        </w:rPr>
        <w:t xml:space="preserve"> unter </w:t>
      </w:r>
      <w:r w:rsidR="003662FB" w:rsidRPr="00277FE6">
        <w:rPr>
          <w:rFonts w:ascii="Verdana" w:hAnsi="Verdana"/>
          <w:sz w:val="20"/>
        </w:rPr>
        <w:lastRenderedPageBreak/>
        <w:t>Verwendung von Übertragungsfunktionen</w:t>
      </w:r>
      <w:r w:rsidR="00F30A7D" w:rsidRPr="00277FE6">
        <w:rPr>
          <w:rFonts w:ascii="Verdana" w:hAnsi="Verdana"/>
          <w:sz w:val="20"/>
        </w:rPr>
        <w:t xml:space="preserve"> und Berücksichtigung der Geringfügigkeitsschwellenwerte</w:t>
      </w:r>
      <w:r w:rsidR="009A6C78" w:rsidRPr="00277FE6">
        <w:rPr>
          <w:rFonts w:ascii="Verdana" w:hAnsi="Verdana"/>
          <w:sz w:val="20"/>
        </w:rPr>
        <w:t xml:space="preserve"> </w:t>
      </w:r>
      <w:r w:rsidR="00855EE8" w:rsidRPr="00277FE6">
        <w:rPr>
          <w:rFonts w:ascii="Verdana" w:hAnsi="Verdana"/>
          <w:sz w:val="20"/>
        </w:rPr>
        <w:t>der Länderarbeitsgemeinschaft Wasser (LAWA) [</w:t>
      </w:r>
      <w:r w:rsidR="00855EE8" w:rsidRPr="00277FE6">
        <w:rPr>
          <w:rStyle w:val="Endnotenzeichen"/>
          <w:rFonts w:ascii="Verdana" w:hAnsi="Verdana"/>
          <w:sz w:val="20"/>
        </w:rPr>
        <w:endnoteReference w:id="18"/>
      </w:r>
      <w:r w:rsidR="00855EE8" w:rsidRPr="00277FE6">
        <w:rPr>
          <w:rFonts w:ascii="Verdana" w:hAnsi="Verdana"/>
          <w:sz w:val="20"/>
        </w:rPr>
        <w:t xml:space="preserve">] </w:t>
      </w:r>
      <w:r w:rsidR="009A6C78" w:rsidRPr="00277FE6">
        <w:rPr>
          <w:rFonts w:ascii="Verdana" w:hAnsi="Verdana"/>
          <w:sz w:val="20"/>
        </w:rPr>
        <w:t xml:space="preserve">zum Schutz des Grundwassers modelliert. </w:t>
      </w:r>
    </w:p>
    <w:p w14:paraId="68B1B4EC" w14:textId="7BEE15AD" w:rsidR="00F30A7D" w:rsidRPr="00277FE6" w:rsidRDefault="00C0339F" w:rsidP="003662FB">
      <w:pPr>
        <w:autoSpaceDE w:val="0"/>
        <w:autoSpaceDN w:val="0"/>
        <w:adjustRightInd w:val="0"/>
        <w:spacing w:after="120"/>
        <w:rPr>
          <w:rFonts w:ascii="Verdana" w:hAnsi="Verdana"/>
          <w:sz w:val="20"/>
        </w:rPr>
      </w:pPr>
      <w:r w:rsidRPr="00277FE6">
        <w:rPr>
          <w:rFonts w:ascii="Verdana" w:hAnsi="Verdana"/>
          <w:sz w:val="20"/>
        </w:rPr>
        <w:t>Zudem kann davon ausgegangen werden, dass auch Baustoffe, die gemäß EBV geprüft wurden, bei sachgerechtem Einsatz in Bauprodukten kein Risiko für die Umwelt darstellen.</w:t>
      </w:r>
    </w:p>
    <w:p w14:paraId="6B386E3D" w14:textId="4495C677" w:rsidR="00447E3B" w:rsidRPr="00277FE6" w:rsidRDefault="00447E3B" w:rsidP="002D66AA">
      <w:pPr>
        <w:autoSpaceDE w:val="0"/>
        <w:autoSpaceDN w:val="0"/>
        <w:adjustRightInd w:val="0"/>
        <w:spacing w:after="120"/>
        <w:rPr>
          <w:rFonts w:ascii="Verdana" w:hAnsi="Verdana"/>
          <w:sz w:val="20"/>
        </w:rPr>
      </w:pPr>
      <w:r w:rsidRPr="00277FE6">
        <w:rPr>
          <w:rFonts w:ascii="Verdana" w:hAnsi="Verdana"/>
          <w:sz w:val="20"/>
        </w:rPr>
        <w:t xml:space="preserve">Das </w:t>
      </w:r>
      <w:proofErr w:type="spellStart"/>
      <w:r w:rsidRPr="00277FE6">
        <w:rPr>
          <w:rFonts w:ascii="Verdana" w:hAnsi="Verdana"/>
          <w:sz w:val="20"/>
        </w:rPr>
        <w:t>eluatbasierte</w:t>
      </w:r>
      <w:proofErr w:type="spellEnd"/>
      <w:r w:rsidRPr="00277FE6">
        <w:rPr>
          <w:rFonts w:ascii="Verdana" w:hAnsi="Verdana"/>
          <w:sz w:val="20"/>
        </w:rPr>
        <w:t xml:space="preserve"> Bewertungskonzept der EB</w:t>
      </w:r>
      <w:r w:rsidR="005B61A5" w:rsidRPr="00277FE6">
        <w:rPr>
          <w:rFonts w:ascii="Verdana" w:hAnsi="Verdana"/>
          <w:sz w:val="20"/>
        </w:rPr>
        <w:t xml:space="preserve">V </w:t>
      </w:r>
      <w:r w:rsidRPr="00277FE6">
        <w:rPr>
          <w:rFonts w:ascii="Verdana" w:hAnsi="Verdana"/>
          <w:sz w:val="20"/>
        </w:rPr>
        <w:t>ist das Ergebnis zahlreicher und umfangreicher Forschungsprojekte, die die Stofffreisetzung für verschiedene mineralische Baustoffe unter Berücksichtigung unterschiedlicher Einbauweisen modelliert haben</w:t>
      </w:r>
      <w:r w:rsidR="005B61A5" w:rsidRPr="00277FE6">
        <w:rPr>
          <w:rFonts w:ascii="Verdana" w:hAnsi="Verdana"/>
          <w:sz w:val="20"/>
        </w:rPr>
        <w:t xml:space="preserve"> [</w:t>
      </w:r>
      <w:r w:rsidR="005B61A5" w:rsidRPr="00277FE6">
        <w:rPr>
          <w:rFonts w:ascii="Verdana" w:hAnsi="Verdana"/>
          <w:sz w:val="20"/>
        </w:rPr>
        <w:fldChar w:fldCharType="begin"/>
      </w:r>
      <w:r w:rsidR="005B61A5" w:rsidRPr="00277FE6">
        <w:rPr>
          <w:rFonts w:ascii="Verdana" w:hAnsi="Verdana"/>
          <w:sz w:val="20"/>
        </w:rPr>
        <w:instrText xml:space="preserve"> NOTEREF _Ref181780045 \h </w:instrText>
      </w:r>
      <w:r w:rsidR="00277FE6" w:rsidRPr="00277FE6">
        <w:rPr>
          <w:rFonts w:ascii="Verdana" w:hAnsi="Verdana"/>
          <w:sz w:val="20"/>
        </w:rPr>
        <w:instrText xml:space="preserve"> \* MERGEFORMAT </w:instrText>
      </w:r>
      <w:r w:rsidR="005B61A5" w:rsidRPr="00277FE6">
        <w:rPr>
          <w:rFonts w:ascii="Verdana" w:hAnsi="Verdana"/>
          <w:sz w:val="20"/>
        </w:rPr>
      </w:r>
      <w:r w:rsidR="005B61A5" w:rsidRPr="00277FE6">
        <w:rPr>
          <w:rFonts w:ascii="Verdana" w:hAnsi="Verdana"/>
          <w:sz w:val="20"/>
        </w:rPr>
        <w:fldChar w:fldCharType="separate"/>
      </w:r>
      <w:r w:rsidR="007460E4">
        <w:rPr>
          <w:rFonts w:ascii="Verdana" w:hAnsi="Verdana"/>
          <w:sz w:val="20"/>
        </w:rPr>
        <w:t>2</w:t>
      </w:r>
      <w:r w:rsidR="005B61A5" w:rsidRPr="00277FE6">
        <w:rPr>
          <w:rFonts w:ascii="Verdana" w:hAnsi="Verdana"/>
          <w:sz w:val="20"/>
        </w:rPr>
        <w:fldChar w:fldCharType="end"/>
      </w:r>
      <w:r w:rsidR="003D6C71" w:rsidRPr="00277FE6">
        <w:rPr>
          <w:rFonts w:ascii="Verdana" w:hAnsi="Verdana"/>
          <w:sz w:val="20"/>
        </w:rPr>
        <w:t xml:space="preserve">, </w:t>
      </w:r>
      <w:r w:rsidR="003D6C71" w:rsidRPr="00277FE6">
        <w:rPr>
          <w:rFonts w:ascii="Verdana" w:hAnsi="Verdana"/>
          <w:sz w:val="20"/>
        </w:rPr>
        <w:fldChar w:fldCharType="begin"/>
      </w:r>
      <w:r w:rsidR="003D6C71" w:rsidRPr="00277FE6">
        <w:rPr>
          <w:rFonts w:ascii="Verdana" w:hAnsi="Verdana"/>
          <w:sz w:val="20"/>
        </w:rPr>
        <w:instrText xml:space="preserve"> NOTEREF _Ref181788658 \h </w:instrText>
      </w:r>
      <w:r w:rsidR="00277FE6" w:rsidRPr="00277FE6">
        <w:rPr>
          <w:rFonts w:ascii="Verdana" w:hAnsi="Verdana"/>
          <w:sz w:val="20"/>
        </w:rPr>
        <w:instrText xml:space="preserve"> \* MERGEFORMAT </w:instrText>
      </w:r>
      <w:r w:rsidR="003D6C71" w:rsidRPr="00277FE6">
        <w:rPr>
          <w:rFonts w:ascii="Verdana" w:hAnsi="Verdana"/>
          <w:sz w:val="20"/>
        </w:rPr>
      </w:r>
      <w:r w:rsidR="003D6C71" w:rsidRPr="00277FE6">
        <w:rPr>
          <w:rFonts w:ascii="Verdana" w:hAnsi="Verdana"/>
          <w:sz w:val="20"/>
        </w:rPr>
        <w:fldChar w:fldCharType="separate"/>
      </w:r>
      <w:r w:rsidR="007460E4">
        <w:rPr>
          <w:rFonts w:ascii="Verdana" w:hAnsi="Verdana"/>
          <w:sz w:val="20"/>
        </w:rPr>
        <w:t>15</w:t>
      </w:r>
      <w:r w:rsidR="003D6C71" w:rsidRPr="00277FE6">
        <w:rPr>
          <w:rFonts w:ascii="Verdana" w:hAnsi="Verdana"/>
          <w:sz w:val="20"/>
        </w:rPr>
        <w:fldChar w:fldCharType="end"/>
      </w:r>
      <w:r w:rsidR="005B61A5" w:rsidRPr="00277FE6">
        <w:rPr>
          <w:rFonts w:ascii="Verdana" w:hAnsi="Verdana"/>
          <w:sz w:val="20"/>
        </w:rPr>
        <w:t>]</w:t>
      </w:r>
      <w:r w:rsidRPr="00277FE6">
        <w:rPr>
          <w:rFonts w:ascii="Verdana" w:hAnsi="Verdana"/>
          <w:sz w:val="20"/>
        </w:rPr>
        <w:t>. Durch Ableitung von Materialwerten für verschiedene Szenarien wird sichergestellt, dass bei Einhaltung dieser Werte der Schutz von B</w:t>
      </w:r>
      <w:r w:rsidR="00C340F0" w:rsidRPr="00277FE6">
        <w:rPr>
          <w:rFonts w:ascii="Verdana" w:hAnsi="Verdana"/>
          <w:sz w:val="20"/>
        </w:rPr>
        <w:t>o</w:t>
      </w:r>
      <w:r w:rsidRPr="00277FE6">
        <w:rPr>
          <w:rFonts w:ascii="Verdana" w:hAnsi="Verdana"/>
          <w:sz w:val="20"/>
        </w:rPr>
        <w:t>den und Grundwasser gewährleistet ist. Die Ersatzbaustoffverordnung gewährleistet damit den bestmöglichen Einsatz von mineralischen Ersatzbaustoffen im Sinne des Kreislaufwirtschaftsgesetzes (KrWG) bei gleichzeitigem Schutz von B</w:t>
      </w:r>
      <w:r w:rsidR="00C340F0" w:rsidRPr="00277FE6">
        <w:rPr>
          <w:rFonts w:ascii="Verdana" w:hAnsi="Verdana"/>
          <w:sz w:val="20"/>
        </w:rPr>
        <w:t>o</w:t>
      </w:r>
      <w:r w:rsidRPr="00277FE6">
        <w:rPr>
          <w:rFonts w:ascii="Verdana" w:hAnsi="Verdana"/>
          <w:sz w:val="20"/>
        </w:rPr>
        <w:t xml:space="preserve">den und Grundwasser. </w:t>
      </w:r>
    </w:p>
    <w:p w14:paraId="6EEA036F" w14:textId="5497C2CA" w:rsidR="00447E3B" w:rsidRPr="00277FE6" w:rsidRDefault="00447E3B" w:rsidP="00447E3B">
      <w:pPr>
        <w:autoSpaceDE w:val="0"/>
        <w:autoSpaceDN w:val="0"/>
        <w:adjustRightInd w:val="0"/>
        <w:spacing w:after="120"/>
        <w:rPr>
          <w:rFonts w:ascii="Verdana" w:hAnsi="Verdana"/>
          <w:sz w:val="20"/>
        </w:rPr>
      </w:pPr>
      <w:r w:rsidRPr="00277FE6">
        <w:rPr>
          <w:rFonts w:ascii="Verdana" w:hAnsi="Verdana"/>
          <w:sz w:val="20"/>
        </w:rPr>
        <w:t xml:space="preserve">Da Beton ein wasserundurchlässiger Verbundstoff ist, stellt der Einsatz von Materialien, die gemäß EBV die Anforderungen für gebundene Bauweisen erfüllen, bei sachgerechtem Einsatz in einer Betonmatrix sicherlich keine Gefahr für Boden und Grundwasser dar. </w:t>
      </w:r>
    </w:p>
    <w:p w14:paraId="22929B1C" w14:textId="17378F17" w:rsidR="00447E3B" w:rsidRPr="00277FE6" w:rsidRDefault="00447E3B" w:rsidP="00447E3B">
      <w:pPr>
        <w:autoSpaceDE w:val="0"/>
        <w:autoSpaceDN w:val="0"/>
        <w:adjustRightInd w:val="0"/>
        <w:spacing w:after="120"/>
        <w:rPr>
          <w:rFonts w:ascii="Verdana" w:hAnsi="Verdana"/>
          <w:sz w:val="20"/>
        </w:rPr>
      </w:pPr>
      <w:r w:rsidRPr="00277FE6">
        <w:rPr>
          <w:rFonts w:ascii="Verdana" w:hAnsi="Verdana"/>
          <w:sz w:val="20"/>
        </w:rPr>
        <w:t>Für Materialien, die nicht in der EBV geregelt sind, kann eine analoge Betrachtung im Einzelfall</w:t>
      </w:r>
      <w:r w:rsidR="00435091" w:rsidRPr="00277FE6">
        <w:rPr>
          <w:rFonts w:ascii="Verdana" w:hAnsi="Verdana"/>
          <w:sz w:val="20"/>
        </w:rPr>
        <w:t xml:space="preserve"> durch zuständige Behörden</w:t>
      </w:r>
      <w:r w:rsidRPr="00277FE6">
        <w:rPr>
          <w:rFonts w:ascii="Verdana" w:hAnsi="Verdana"/>
          <w:sz w:val="20"/>
        </w:rPr>
        <w:t xml:space="preserve"> erfolgen. Dabei ist jedoch eine Bewertung im Kontext des Endprodukts </w:t>
      </w:r>
      <w:r w:rsidR="00B67562" w:rsidRPr="00277FE6">
        <w:rPr>
          <w:rFonts w:ascii="Verdana" w:hAnsi="Verdana"/>
          <w:sz w:val="20"/>
        </w:rPr>
        <w:t>erforderlich</w:t>
      </w:r>
      <w:r w:rsidRPr="00277FE6">
        <w:rPr>
          <w:rFonts w:ascii="Verdana" w:hAnsi="Verdana"/>
          <w:sz w:val="20"/>
        </w:rPr>
        <w:t xml:space="preserve">. Das </w:t>
      </w:r>
      <w:proofErr w:type="spellStart"/>
      <w:r w:rsidRPr="00277FE6">
        <w:rPr>
          <w:rFonts w:ascii="Verdana" w:hAnsi="Verdana"/>
          <w:sz w:val="20"/>
        </w:rPr>
        <w:t>Betoneluat</w:t>
      </w:r>
      <w:proofErr w:type="spellEnd"/>
      <w:r w:rsidRPr="00277FE6">
        <w:rPr>
          <w:rFonts w:ascii="Verdana" w:hAnsi="Verdana"/>
          <w:sz w:val="20"/>
        </w:rPr>
        <w:t xml:space="preserve"> bietet eine realistischere Einschätzung der tatsächlichen Umweltbelastung, da es die Wechselwirkungen der Materialien im fertigen Beton berücksichtigt.</w:t>
      </w:r>
    </w:p>
    <w:p w14:paraId="6D55364B" w14:textId="77777777" w:rsidR="00447E3B" w:rsidRDefault="00447E3B" w:rsidP="00447E3B">
      <w:pPr>
        <w:autoSpaceDE w:val="0"/>
        <w:autoSpaceDN w:val="0"/>
        <w:adjustRightInd w:val="0"/>
        <w:spacing w:after="120"/>
        <w:rPr>
          <w:rFonts w:ascii="Verdana" w:hAnsi="Verdana"/>
          <w:sz w:val="20"/>
        </w:rPr>
      </w:pPr>
    </w:p>
    <w:p w14:paraId="7910D321" w14:textId="77777777" w:rsidR="00447E3B" w:rsidRPr="00547288" w:rsidRDefault="00447E3B" w:rsidP="00447E3B">
      <w:pPr>
        <w:autoSpaceDE w:val="0"/>
        <w:autoSpaceDN w:val="0"/>
        <w:adjustRightInd w:val="0"/>
        <w:spacing w:after="120"/>
        <w:rPr>
          <w:rFonts w:ascii="Verdana" w:hAnsi="Verdana"/>
          <w:b/>
          <w:bCs/>
          <w:sz w:val="20"/>
        </w:rPr>
      </w:pPr>
      <w:r w:rsidRPr="00547288">
        <w:rPr>
          <w:rFonts w:ascii="Verdana" w:hAnsi="Verdana"/>
          <w:b/>
          <w:bCs/>
          <w:sz w:val="20"/>
        </w:rPr>
        <w:t xml:space="preserve">Schutz des Menschen </w:t>
      </w:r>
    </w:p>
    <w:p w14:paraId="15808ACF" w14:textId="4EDC23F9" w:rsidR="00447E3B" w:rsidRPr="009908EB" w:rsidRDefault="00447E3B" w:rsidP="00447E3B">
      <w:pPr>
        <w:spacing w:after="120"/>
        <w:rPr>
          <w:rFonts w:ascii="Verdana" w:hAnsi="Verdana"/>
          <w:sz w:val="20"/>
        </w:rPr>
      </w:pPr>
      <w:r w:rsidRPr="00DC6B65">
        <w:rPr>
          <w:rFonts w:ascii="Verdana" w:hAnsi="Verdana"/>
          <w:sz w:val="20"/>
        </w:rPr>
        <w:t xml:space="preserve">Bei der Bewertung potenzieller Gefahren für den Menschen müssen insbesondere die </w:t>
      </w:r>
      <w:r w:rsidRPr="003046E3">
        <w:rPr>
          <w:rFonts w:ascii="Verdana" w:hAnsi="Verdana"/>
          <w:sz w:val="20"/>
        </w:rPr>
        <w:t>Expositionswege berücksichtigt werden (Aufnahme über Haut, Mund oder Atemwege). Eine orale Aufnahme von Sekundärrohstoffen</w:t>
      </w:r>
      <w:r w:rsidRPr="00A56358">
        <w:rPr>
          <w:rFonts w:ascii="Verdana" w:hAnsi="Verdana"/>
          <w:sz w:val="20"/>
        </w:rPr>
        <w:t xml:space="preserve"> ist unter normalen Umständen </w:t>
      </w:r>
      <w:r w:rsidR="00796D71">
        <w:rPr>
          <w:rFonts w:ascii="Verdana" w:hAnsi="Verdana"/>
          <w:sz w:val="20"/>
        </w:rPr>
        <w:t xml:space="preserve">bei </w:t>
      </w:r>
      <w:r w:rsidR="007A472A">
        <w:rPr>
          <w:rFonts w:ascii="Verdana" w:hAnsi="Verdana"/>
          <w:sz w:val="20"/>
        </w:rPr>
        <w:t xml:space="preserve">der Verwendung in </w:t>
      </w:r>
      <w:r w:rsidR="00796D71">
        <w:rPr>
          <w:rFonts w:ascii="Verdana" w:hAnsi="Verdana"/>
          <w:sz w:val="20"/>
        </w:rPr>
        <w:t>Bauprodukten</w:t>
      </w:r>
      <w:r w:rsidRPr="00A56358">
        <w:rPr>
          <w:rFonts w:ascii="Verdana" w:hAnsi="Verdana"/>
          <w:sz w:val="20"/>
        </w:rPr>
        <w:t xml:space="preserve"> auszuschließen, sodass keine Gefahr für den Menschen besteht. </w:t>
      </w:r>
    </w:p>
    <w:p w14:paraId="7F59D760" w14:textId="5FC3600A" w:rsidR="00447E3B" w:rsidRDefault="00447E3B" w:rsidP="00447E3B">
      <w:pPr>
        <w:spacing w:after="120"/>
        <w:rPr>
          <w:rFonts w:ascii="Verdana" w:hAnsi="Verdana"/>
          <w:sz w:val="20"/>
        </w:rPr>
      </w:pPr>
      <w:r w:rsidRPr="009908EB">
        <w:rPr>
          <w:rFonts w:ascii="Verdana" w:hAnsi="Verdana"/>
          <w:sz w:val="20"/>
        </w:rPr>
        <w:t xml:space="preserve">Der Hautkontakt (dermale Exposition) kann, zumindest theoretisch, während der Materialaufbereitung oder bei Bauarbeiten auftreten, beispielsweise bei der Verarbeitung von Frischbeton. Allerdings ist davon auszugehen, dass </w:t>
      </w:r>
      <w:r>
        <w:rPr>
          <w:rFonts w:ascii="Verdana" w:hAnsi="Verdana"/>
          <w:sz w:val="20"/>
        </w:rPr>
        <w:t xml:space="preserve">die in der EBV geregelten </w:t>
      </w:r>
      <w:r w:rsidRPr="009908EB">
        <w:rPr>
          <w:rFonts w:ascii="Verdana" w:hAnsi="Verdana"/>
          <w:sz w:val="20"/>
        </w:rPr>
        <w:lastRenderedPageBreak/>
        <w:t xml:space="preserve">Materialien eine so geringe Freisetzung von potenziellen Schadstoffen aufweisen, dass </w:t>
      </w:r>
      <w:r>
        <w:rPr>
          <w:rFonts w:ascii="Verdana" w:hAnsi="Verdana"/>
          <w:sz w:val="20"/>
        </w:rPr>
        <w:t>gesundheitliche Risiken minimiert sind</w:t>
      </w:r>
      <w:r w:rsidR="00010D08">
        <w:rPr>
          <w:rFonts w:ascii="Verdana" w:hAnsi="Verdana"/>
          <w:sz w:val="20"/>
        </w:rPr>
        <w:t>.</w:t>
      </w:r>
      <w:r w:rsidRPr="00BA18E8">
        <w:rPr>
          <w:rFonts w:ascii="Verdana" w:hAnsi="Verdana"/>
          <w:sz w:val="20"/>
        </w:rPr>
        <w:t xml:space="preserve"> </w:t>
      </w:r>
    </w:p>
    <w:p w14:paraId="34A87636" w14:textId="70F508EF" w:rsidR="00447E3B" w:rsidRDefault="00447E3B" w:rsidP="00447E3B">
      <w:pPr>
        <w:spacing w:after="120"/>
        <w:rPr>
          <w:rFonts w:ascii="Verdana" w:hAnsi="Verdana"/>
          <w:sz w:val="20"/>
        </w:rPr>
      </w:pPr>
      <w:r w:rsidRPr="00D37FCA">
        <w:rPr>
          <w:rFonts w:ascii="Verdana" w:hAnsi="Verdana"/>
          <w:sz w:val="20"/>
        </w:rPr>
        <w:t>Das Risiko der inhalativen Aufnahme von Schadstoffen ist bei der Verwendung von Sekundärrohstoffen in</w:t>
      </w:r>
      <w:r w:rsidRPr="0026153C">
        <w:rPr>
          <w:rFonts w:ascii="Verdana" w:hAnsi="Verdana"/>
          <w:sz w:val="20"/>
        </w:rPr>
        <w:t xml:space="preserve"> Betonen gering, da die Schadstoffe in der festen Matrix des Betons gebunden sind. Bei </w:t>
      </w:r>
      <w:r>
        <w:rPr>
          <w:rFonts w:ascii="Verdana" w:hAnsi="Verdana"/>
          <w:sz w:val="20"/>
        </w:rPr>
        <w:t>Bohrarbeiten</w:t>
      </w:r>
      <w:r w:rsidRPr="0026153C">
        <w:rPr>
          <w:rFonts w:ascii="Verdana" w:hAnsi="Verdana"/>
          <w:sz w:val="20"/>
        </w:rPr>
        <w:t xml:space="preserve"> oder Abbruch von Beton kann </w:t>
      </w:r>
      <w:r w:rsidR="00B4590D">
        <w:rPr>
          <w:rFonts w:ascii="Verdana" w:hAnsi="Verdana"/>
          <w:sz w:val="20"/>
        </w:rPr>
        <w:t xml:space="preserve">immer </w:t>
      </w:r>
      <w:r w:rsidRPr="0026153C">
        <w:rPr>
          <w:rFonts w:ascii="Verdana" w:hAnsi="Verdana"/>
          <w:sz w:val="20"/>
        </w:rPr>
        <w:t xml:space="preserve">Staub entstehen, </w:t>
      </w:r>
      <w:r w:rsidR="00B4590D">
        <w:rPr>
          <w:rFonts w:ascii="Verdana" w:hAnsi="Verdana"/>
          <w:sz w:val="20"/>
        </w:rPr>
        <w:t xml:space="preserve">der durch entsprechende Präventionsmaßnahmen </w:t>
      </w:r>
      <w:r w:rsidR="0082030E">
        <w:rPr>
          <w:rFonts w:ascii="Verdana" w:hAnsi="Verdana"/>
          <w:sz w:val="20"/>
        </w:rPr>
        <w:t xml:space="preserve">grundsätzlich </w:t>
      </w:r>
      <w:r w:rsidR="00B4590D">
        <w:rPr>
          <w:rFonts w:ascii="Verdana" w:hAnsi="Verdana"/>
          <w:sz w:val="20"/>
        </w:rPr>
        <w:t>zu</w:t>
      </w:r>
      <w:r w:rsidR="0082030E">
        <w:rPr>
          <w:rFonts w:ascii="Verdana" w:hAnsi="Verdana"/>
          <w:sz w:val="20"/>
        </w:rPr>
        <w:t xml:space="preserve"> </w:t>
      </w:r>
      <w:r w:rsidR="00B4590D">
        <w:rPr>
          <w:rFonts w:ascii="Verdana" w:hAnsi="Verdana"/>
          <w:sz w:val="20"/>
        </w:rPr>
        <w:t xml:space="preserve">minimieren ist. In diesem Zusammenhang ist wichtig, dass </w:t>
      </w:r>
      <w:r w:rsidRPr="0080756B">
        <w:rPr>
          <w:rFonts w:ascii="Verdana" w:hAnsi="Verdana"/>
          <w:sz w:val="20"/>
        </w:rPr>
        <w:t xml:space="preserve">die Exposition gegenüber solchen Partikeln in der Regel vergleichbar mit den Risiken </w:t>
      </w:r>
      <w:r w:rsidR="0082030E">
        <w:rPr>
          <w:rFonts w:ascii="Verdana" w:hAnsi="Verdana"/>
          <w:sz w:val="20"/>
        </w:rPr>
        <w:t>durch</w:t>
      </w:r>
      <w:r w:rsidR="0082030E" w:rsidRPr="0080756B">
        <w:rPr>
          <w:rFonts w:ascii="Verdana" w:hAnsi="Verdana"/>
          <w:sz w:val="20"/>
        </w:rPr>
        <w:t xml:space="preserve"> </w:t>
      </w:r>
      <w:r w:rsidRPr="0080756B">
        <w:rPr>
          <w:rFonts w:ascii="Verdana" w:hAnsi="Verdana"/>
          <w:sz w:val="20"/>
        </w:rPr>
        <w:t>Betonstaub</w:t>
      </w:r>
      <w:r w:rsidR="0082030E">
        <w:rPr>
          <w:rFonts w:ascii="Verdana" w:hAnsi="Verdana"/>
          <w:sz w:val="20"/>
        </w:rPr>
        <w:t xml:space="preserve"> mit natürlichen Ausgangsstoffen</w:t>
      </w:r>
      <w:r w:rsidR="007A44BE" w:rsidRPr="007A44BE">
        <w:rPr>
          <w:rFonts w:ascii="Verdana" w:hAnsi="Verdana"/>
          <w:sz w:val="20"/>
        </w:rPr>
        <w:t xml:space="preserve"> </w:t>
      </w:r>
      <w:r w:rsidR="007A44BE" w:rsidRPr="0080756B">
        <w:rPr>
          <w:rFonts w:ascii="Verdana" w:hAnsi="Verdana"/>
          <w:sz w:val="20"/>
        </w:rPr>
        <w:t>ist</w:t>
      </w:r>
      <w:r w:rsidRPr="0080756B">
        <w:rPr>
          <w:rFonts w:ascii="Verdana" w:hAnsi="Verdana"/>
          <w:sz w:val="20"/>
        </w:rPr>
        <w:t xml:space="preserve">. </w:t>
      </w:r>
    </w:p>
    <w:p w14:paraId="3DCBC4AB" w14:textId="1AF2EDAD" w:rsidR="00447E3B" w:rsidRDefault="003F2504" w:rsidP="00447E3B">
      <w:pPr>
        <w:spacing w:after="120"/>
        <w:rPr>
          <w:rFonts w:ascii="Verdana" w:hAnsi="Verdana"/>
          <w:sz w:val="20"/>
        </w:rPr>
      </w:pPr>
      <w:r w:rsidRPr="0085760A">
        <w:rPr>
          <w:rFonts w:ascii="Verdana" w:hAnsi="Verdana"/>
          <w:sz w:val="20"/>
        </w:rPr>
        <w:t xml:space="preserve">Neben den </w:t>
      </w:r>
      <w:r w:rsidR="00215E1A" w:rsidRPr="0085760A">
        <w:rPr>
          <w:rFonts w:ascii="Verdana" w:hAnsi="Verdana"/>
          <w:sz w:val="20"/>
        </w:rPr>
        <w:t xml:space="preserve">grundlegenden Anforderungen der Güteüberwachung nach EBV </w:t>
      </w:r>
      <w:r w:rsidR="00C772A9" w:rsidRPr="0085760A">
        <w:rPr>
          <w:rFonts w:ascii="Verdana" w:hAnsi="Verdana"/>
          <w:sz w:val="20"/>
        </w:rPr>
        <w:t>wurden bestimmte</w:t>
      </w:r>
      <w:r w:rsidR="00447E3B" w:rsidRPr="002D2E43">
        <w:rPr>
          <w:rFonts w:ascii="Verdana" w:hAnsi="Verdana"/>
          <w:sz w:val="20"/>
        </w:rPr>
        <w:t xml:space="preserve"> </w:t>
      </w:r>
      <w:r w:rsidR="00447E3B" w:rsidRPr="00341E4D">
        <w:rPr>
          <w:rFonts w:ascii="Verdana" w:hAnsi="Verdana"/>
          <w:sz w:val="20"/>
        </w:rPr>
        <w:t>Sekundärrohstoffe</w:t>
      </w:r>
      <w:r w:rsidR="00447E3B" w:rsidRPr="002D2E43">
        <w:rPr>
          <w:rFonts w:ascii="Verdana" w:hAnsi="Verdana"/>
          <w:sz w:val="20"/>
        </w:rPr>
        <w:t xml:space="preserve"> im Rahmen der REAC</w:t>
      </w:r>
      <w:r w:rsidR="000B5BBE">
        <w:rPr>
          <w:rFonts w:ascii="Verdana" w:hAnsi="Verdana"/>
          <w:sz w:val="20"/>
        </w:rPr>
        <w:t>H</w:t>
      </w:r>
      <w:r w:rsidR="00447E3B" w:rsidRPr="002D2E43">
        <w:rPr>
          <w:rFonts w:ascii="Verdana" w:hAnsi="Verdana"/>
          <w:sz w:val="20"/>
        </w:rPr>
        <w:t>-Registrierung umfassenden öko- und humantoxikologischen Prüfungen unterzogen. Diese Untersuchungen erlauben eine fundierte Einschätzung, ob gemäß der CLP-Verordnung eine Einstufung als gefährlich notwendig ist und ob bei der Verwendung Risiken für die Gesundheit zu erwarten sind.</w:t>
      </w:r>
    </w:p>
    <w:p w14:paraId="0C317937" w14:textId="77777777" w:rsidR="00326722" w:rsidRDefault="00326722" w:rsidP="00157D45">
      <w:pPr>
        <w:spacing w:after="120"/>
        <w:rPr>
          <w:rFonts w:ascii="Verdana" w:hAnsi="Verdana"/>
          <w:b/>
          <w:bCs/>
          <w:sz w:val="20"/>
        </w:rPr>
      </w:pPr>
    </w:p>
    <w:p w14:paraId="400076DC" w14:textId="033B5C96" w:rsidR="00157D45" w:rsidRDefault="00157D45" w:rsidP="00157D45">
      <w:pPr>
        <w:spacing w:after="120"/>
        <w:rPr>
          <w:rFonts w:ascii="Verdana" w:hAnsi="Verdana"/>
          <w:b/>
          <w:bCs/>
          <w:sz w:val="20"/>
        </w:rPr>
      </w:pPr>
      <w:r w:rsidRPr="00BE5ABB">
        <w:rPr>
          <w:rFonts w:ascii="Verdana" w:hAnsi="Verdana"/>
          <w:b/>
          <w:bCs/>
          <w:sz w:val="20"/>
        </w:rPr>
        <w:t xml:space="preserve">Vermeidung </w:t>
      </w:r>
      <w:r w:rsidR="007460E4">
        <w:rPr>
          <w:rFonts w:ascii="Verdana" w:hAnsi="Verdana"/>
          <w:b/>
          <w:bCs/>
          <w:sz w:val="20"/>
        </w:rPr>
        <w:t>der</w:t>
      </w:r>
      <w:r w:rsidR="007460E4" w:rsidRPr="00BE5ABB">
        <w:rPr>
          <w:rFonts w:ascii="Verdana" w:hAnsi="Verdana"/>
          <w:b/>
          <w:bCs/>
          <w:sz w:val="20"/>
        </w:rPr>
        <w:t xml:space="preserve"> </w:t>
      </w:r>
      <w:r w:rsidRPr="00BE5ABB">
        <w:rPr>
          <w:rFonts w:ascii="Verdana" w:hAnsi="Verdana"/>
          <w:b/>
          <w:bCs/>
          <w:sz w:val="20"/>
        </w:rPr>
        <w:t>Schadstoffanreicherung im Wertstoffkreislauf</w:t>
      </w:r>
      <w:r>
        <w:rPr>
          <w:rFonts w:ascii="Verdana" w:hAnsi="Verdana"/>
          <w:b/>
          <w:bCs/>
          <w:sz w:val="20"/>
        </w:rPr>
        <w:t xml:space="preserve"> </w:t>
      </w:r>
      <w:r w:rsidR="00DF3FB0">
        <w:rPr>
          <w:rFonts w:ascii="Verdana" w:hAnsi="Verdana"/>
          <w:b/>
          <w:bCs/>
          <w:sz w:val="20"/>
        </w:rPr>
        <w:t>(§ 7 Abs. 3 KrWG)</w:t>
      </w:r>
    </w:p>
    <w:p w14:paraId="73EAEBEB" w14:textId="175BA150" w:rsidR="00606F22" w:rsidRPr="00277FE6" w:rsidRDefault="00606F22" w:rsidP="00893D4D">
      <w:pPr>
        <w:spacing w:after="120"/>
        <w:rPr>
          <w:rFonts w:ascii="Verdana" w:hAnsi="Verdana"/>
          <w:sz w:val="20"/>
        </w:rPr>
      </w:pPr>
      <w:r w:rsidRPr="00277FE6">
        <w:rPr>
          <w:rFonts w:ascii="Verdana" w:hAnsi="Verdana"/>
          <w:sz w:val="20"/>
        </w:rPr>
        <w:t xml:space="preserve">Die pauschale Einstufung von Sekundärrohstoffen </w:t>
      </w:r>
      <w:r w:rsidRPr="00277FE6">
        <w:rPr>
          <w:rFonts w:ascii="Verdana" w:hAnsi="Verdana"/>
          <w:color w:val="000000" w:themeColor="text1"/>
          <w:sz w:val="20"/>
        </w:rPr>
        <w:t>als Schadstoff</w:t>
      </w:r>
      <w:r w:rsidR="00676A55" w:rsidRPr="00277FE6">
        <w:rPr>
          <w:rFonts w:ascii="Verdana" w:hAnsi="Verdana"/>
          <w:color w:val="000000" w:themeColor="text1"/>
          <w:sz w:val="20"/>
        </w:rPr>
        <w:t xml:space="preserve"> </w:t>
      </w:r>
      <w:r w:rsidR="00646D31" w:rsidRPr="00277FE6">
        <w:rPr>
          <w:rFonts w:ascii="Verdana" w:hAnsi="Verdana"/>
          <w:color w:val="000000" w:themeColor="text1"/>
          <w:sz w:val="20"/>
        </w:rPr>
        <w:t>bzw.</w:t>
      </w:r>
      <w:r w:rsidR="00676A55" w:rsidRPr="00277FE6">
        <w:rPr>
          <w:rFonts w:ascii="Verdana" w:hAnsi="Verdana"/>
          <w:color w:val="000000" w:themeColor="text1"/>
          <w:sz w:val="20"/>
        </w:rPr>
        <w:t xml:space="preserve"> Schadstoffquelle</w:t>
      </w:r>
      <w:r w:rsidR="003E2E9B" w:rsidRPr="00277FE6">
        <w:rPr>
          <w:rFonts w:ascii="Verdana" w:hAnsi="Verdana"/>
          <w:color w:val="000000" w:themeColor="text1"/>
          <w:sz w:val="20"/>
        </w:rPr>
        <w:t xml:space="preserve"> für den weiteren Wirtschafts- und W</w:t>
      </w:r>
      <w:r w:rsidR="0039177D" w:rsidRPr="00277FE6">
        <w:rPr>
          <w:rFonts w:ascii="Verdana" w:hAnsi="Verdana"/>
          <w:color w:val="000000" w:themeColor="text1"/>
          <w:sz w:val="20"/>
        </w:rPr>
        <w:t>er</w:t>
      </w:r>
      <w:r w:rsidR="00883A42" w:rsidRPr="00277FE6">
        <w:rPr>
          <w:rFonts w:ascii="Verdana" w:hAnsi="Verdana"/>
          <w:color w:val="000000" w:themeColor="text1"/>
          <w:sz w:val="20"/>
        </w:rPr>
        <w:t>t</w:t>
      </w:r>
      <w:r w:rsidR="00B64743" w:rsidRPr="00277FE6">
        <w:rPr>
          <w:rFonts w:ascii="Verdana" w:hAnsi="Verdana"/>
          <w:color w:val="000000" w:themeColor="text1"/>
          <w:sz w:val="20"/>
        </w:rPr>
        <w:t>stoffkreislauf</w:t>
      </w:r>
      <w:r w:rsidRPr="00277FE6">
        <w:rPr>
          <w:rFonts w:ascii="Verdana" w:hAnsi="Verdana"/>
          <w:color w:val="000000" w:themeColor="text1"/>
          <w:sz w:val="20"/>
        </w:rPr>
        <w:t xml:space="preserve"> ist nicht gerechtfertigt. </w:t>
      </w:r>
      <w:r w:rsidR="0014797E" w:rsidRPr="00277FE6">
        <w:rPr>
          <w:rFonts w:ascii="Verdana" w:hAnsi="Verdana"/>
          <w:color w:val="000000" w:themeColor="text1"/>
          <w:sz w:val="20"/>
        </w:rPr>
        <w:t xml:space="preserve">So </w:t>
      </w:r>
      <w:r w:rsidR="00BF0B74" w:rsidRPr="00277FE6">
        <w:rPr>
          <w:rFonts w:ascii="Verdana" w:hAnsi="Verdana"/>
          <w:color w:val="000000" w:themeColor="text1"/>
          <w:sz w:val="20"/>
        </w:rPr>
        <w:t>w</w:t>
      </w:r>
      <w:r w:rsidR="001C4A79" w:rsidRPr="00277FE6">
        <w:rPr>
          <w:rFonts w:ascii="Verdana" w:hAnsi="Verdana"/>
          <w:color w:val="000000" w:themeColor="text1"/>
          <w:sz w:val="20"/>
        </w:rPr>
        <w:t>eisen</w:t>
      </w:r>
      <w:r w:rsidR="00BF0B74" w:rsidRPr="00277FE6">
        <w:rPr>
          <w:rFonts w:ascii="Verdana" w:hAnsi="Verdana"/>
          <w:color w:val="000000" w:themeColor="text1"/>
          <w:sz w:val="20"/>
        </w:rPr>
        <w:t xml:space="preserve"> </w:t>
      </w:r>
      <w:r w:rsidR="00BF0B74" w:rsidRPr="00277FE6">
        <w:rPr>
          <w:rFonts w:ascii="Verdana" w:hAnsi="Verdana"/>
          <w:sz w:val="20"/>
        </w:rPr>
        <w:t xml:space="preserve">Sekundärrohstoffe </w:t>
      </w:r>
      <w:r w:rsidR="001316DF" w:rsidRPr="00277FE6">
        <w:rPr>
          <w:rFonts w:ascii="Verdana" w:hAnsi="Verdana"/>
          <w:sz w:val="20"/>
        </w:rPr>
        <w:t xml:space="preserve">beispielweise nach </w:t>
      </w:r>
      <w:r w:rsidR="0012023E" w:rsidRPr="00277FE6">
        <w:rPr>
          <w:rFonts w:ascii="Verdana" w:hAnsi="Verdana"/>
          <w:sz w:val="20"/>
        </w:rPr>
        <w:t>D</w:t>
      </w:r>
      <w:r w:rsidR="001316DF" w:rsidRPr="00277FE6">
        <w:rPr>
          <w:rFonts w:ascii="Verdana" w:hAnsi="Verdana"/>
          <w:sz w:val="20"/>
        </w:rPr>
        <w:t>urchlaufen</w:t>
      </w:r>
      <w:r w:rsidR="001C4A79" w:rsidRPr="00277FE6">
        <w:rPr>
          <w:rFonts w:ascii="Verdana" w:hAnsi="Verdana"/>
          <w:sz w:val="20"/>
        </w:rPr>
        <w:t xml:space="preserve"> des</w:t>
      </w:r>
      <w:r w:rsidR="001316DF" w:rsidRPr="00277FE6">
        <w:rPr>
          <w:rFonts w:ascii="Verdana" w:hAnsi="Verdana"/>
          <w:sz w:val="20"/>
        </w:rPr>
        <w:t xml:space="preserve"> </w:t>
      </w:r>
      <w:r w:rsidR="00FD7E74" w:rsidRPr="00277FE6">
        <w:rPr>
          <w:rFonts w:ascii="Verdana" w:hAnsi="Verdana"/>
          <w:sz w:val="20"/>
        </w:rPr>
        <w:t xml:space="preserve">gütegesicherten Aufbereitungsprozess nach </w:t>
      </w:r>
      <w:r w:rsidR="001316DF" w:rsidRPr="00277FE6">
        <w:rPr>
          <w:rFonts w:ascii="Verdana" w:hAnsi="Verdana"/>
          <w:sz w:val="20"/>
        </w:rPr>
        <w:t xml:space="preserve">EBV </w:t>
      </w:r>
      <w:r w:rsidR="00700542" w:rsidRPr="00277FE6">
        <w:rPr>
          <w:rFonts w:ascii="Verdana" w:hAnsi="Verdana"/>
          <w:sz w:val="20"/>
        </w:rPr>
        <w:t>i</w:t>
      </w:r>
      <w:r w:rsidR="001C4A79" w:rsidRPr="00277FE6">
        <w:rPr>
          <w:rFonts w:ascii="Verdana" w:hAnsi="Verdana"/>
          <w:sz w:val="20"/>
        </w:rPr>
        <w:t>hre Eignung als mineralischen Ersatzbaustoff nach</w:t>
      </w:r>
      <w:r w:rsidR="005B7559" w:rsidRPr="00277FE6">
        <w:rPr>
          <w:rFonts w:ascii="Verdana" w:hAnsi="Verdana"/>
          <w:sz w:val="20"/>
        </w:rPr>
        <w:t xml:space="preserve">, </w:t>
      </w:r>
      <w:r w:rsidR="0012023E" w:rsidRPr="00277FE6">
        <w:rPr>
          <w:rFonts w:ascii="Verdana" w:hAnsi="Verdana"/>
          <w:sz w:val="20"/>
        </w:rPr>
        <w:t>auf deren Grundlage</w:t>
      </w:r>
      <w:r w:rsidR="005B7559" w:rsidRPr="00277FE6">
        <w:rPr>
          <w:rFonts w:ascii="Verdana" w:hAnsi="Verdana"/>
          <w:sz w:val="20"/>
        </w:rPr>
        <w:t xml:space="preserve"> generell </w:t>
      </w:r>
      <w:r w:rsidR="001172F7" w:rsidRPr="00277FE6">
        <w:rPr>
          <w:rFonts w:ascii="Verdana" w:hAnsi="Verdana"/>
          <w:sz w:val="20"/>
        </w:rPr>
        <w:t xml:space="preserve">von </w:t>
      </w:r>
      <w:r w:rsidR="00EC2B45" w:rsidRPr="00277FE6">
        <w:rPr>
          <w:rFonts w:ascii="Verdana" w:hAnsi="Verdana"/>
          <w:sz w:val="20"/>
        </w:rPr>
        <w:t xml:space="preserve">einer </w:t>
      </w:r>
      <w:r w:rsidR="001172F7" w:rsidRPr="00277FE6">
        <w:rPr>
          <w:rFonts w:ascii="Verdana" w:hAnsi="Verdana"/>
          <w:sz w:val="20"/>
        </w:rPr>
        <w:t xml:space="preserve">schadlosen </w:t>
      </w:r>
      <w:r w:rsidR="00EC2B45" w:rsidRPr="00277FE6">
        <w:rPr>
          <w:rFonts w:ascii="Verdana" w:hAnsi="Verdana"/>
          <w:sz w:val="20"/>
        </w:rPr>
        <w:t>weiteren Verwe</w:t>
      </w:r>
      <w:r w:rsidR="00646D31" w:rsidRPr="00277FE6">
        <w:rPr>
          <w:rFonts w:ascii="Verdana" w:hAnsi="Verdana"/>
          <w:sz w:val="20"/>
        </w:rPr>
        <w:t>ndung</w:t>
      </w:r>
      <w:r w:rsidR="00EC2B45" w:rsidRPr="00277FE6">
        <w:rPr>
          <w:rFonts w:ascii="Verdana" w:hAnsi="Verdana"/>
          <w:sz w:val="20"/>
        </w:rPr>
        <w:t xml:space="preserve"> </w:t>
      </w:r>
      <w:r w:rsidR="00E37726" w:rsidRPr="00277FE6">
        <w:rPr>
          <w:rFonts w:ascii="Verdana" w:hAnsi="Verdana"/>
          <w:sz w:val="20"/>
        </w:rPr>
        <w:t>ausgegangen werden kann</w:t>
      </w:r>
      <w:r w:rsidR="003D10FD" w:rsidRPr="00277FE6">
        <w:rPr>
          <w:rFonts w:ascii="Verdana" w:hAnsi="Verdana"/>
          <w:sz w:val="20"/>
        </w:rPr>
        <w:t>.</w:t>
      </w:r>
      <w:r w:rsidR="002D5F61" w:rsidRPr="00277FE6">
        <w:rPr>
          <w:rFonts w:ascii="Verdana" w:hAnsi="Verdana"/>
          <w:sz w:val="20"/>
        </w:rPr>
        <w:t xml:space="preserve"> </w:t>
      </w:r>
      <w:r w:rsidR="006F4F63" w:rsidRPr="00277FE6">
        <w:rPr>
          <w:rFonts w:ascii="Verdana" w:hAnsi="Verdana"/>
          <w:sz w:val="20"/>
        </w:rPr>
        <w:t xml:space="preserve">Zudem gilt: Wenn toxikologische Untersuchungen belegen, dass ein Sekundärrohstoff </w:t>
      </w:r>
      <w:r w:rsidR="00F168F6" w:rsidRPr="00277FE6">
        <w:rPr>
          <w:rFonts w:ascii="Verdana" w:hAnsi="Verdana"/>
          <w:sz w:val="20"/>
        </w:rPr>
        <w:t>kein</w:t>
      </w:r>
      <w:r w:rsidR="007460E4">
        <w:rPr>
          <w:rFonts w:ascii="Verdana" w:hAnsi="Verdana"/>
          <w:sz w:val="20"/>
        </w:rPr>
        <w:t>en</w:t>
      </w:r>
      <w:r w:rsidR="00F168F6" w:rsidRPr="00277FE6">
        <w:rPr>
          <w:rFonts w:ascii="Verdana" w:hAnsi="Verdana"/>
          <w:sz w:val="20"/>
        </w:rPr>
        <w:t xml:space="preserve"> Schadstoff darstellt, kann auch </w:t>
      </w:r>
      <w:r w:rsidR="006F4F63" w:rsidRPr="00277FE6">
        <w:rPr>
          <w:rFonts w:ascii="Verdana" w:hAnsi="Verdana"/>
          <w:sz w:val="20"/>
        </w:rPr>
        <w:t xml:space="preserve">keine Schadstoffanreicherung </w:t>
      </w:r>
      <w:r w:rsidR="007460E4">
        <w:rPr>
          <w:rFonts w:ascii="Verdana" w:hAnsi="Verdana"/>
          <w:sz w:val="20"/>
        </w:rPr>
        <w:t>erfolgen</w:t>
      </w:r>
      <w:r w:rsidR="00F168F6" w:rsidRPr="00277FE6">
        <w:rPr>
          <w:rFonts w:ascii="Verdana" w:hAnsi="Verdana"/>
          <w:sz w:val="20"/>
        </w:rPr>
        <w:t xml:space="preserve">. </w:t>
      </w:r>
    </w:p>
    <w:p w14:paraId="28856D39" w14:textId="3D33C9B9" w:rsidR="009E0B6F" w:rsidRPr="00277FE6" w:rsidRDefault="00CA4D3D" w:rsidP="00893D4D">
      <w:pPr>
        <w:spacing w:after="120"/>
        <w:rPr>
          <w:rFonts w:ascii="Verdana" w:hAnsi="Verdana"/>
          <w:sz w:val="20"/>
        </w:rPr>
      </w:pPr>
      <w:r w:rsidRPr="00277FE6">
        <w:rPr>
          <w:rFonts w:ascii="Verdana" w:hAnsi="Verdana"/>
          <w:sz w:val="20"/>
        </w:rPr>
        <w:t>Überdies</w:t>
      </w:r>
      <w:r w:rsidR="00FE6CEF" w:rsidRPr="00277FE6">
        <w:rPr>
          <w:rFonts w:ascii="Verdana" w:hAnsi="Verdana"/>
          <w:sz w:val="20"/>
        </w:rPr>
        <w:t xml:space="preserve"> ist </w:t>
      </w:r>
      <w:r w:rsidR="00B2501B" w:rsidRPr="00277FE6">
        <w:rPr>
          <w:rFonts w:ascii="Verdana" w:hAnsi="Verdana"/>
          <w:sz w:val="20"/>
        </w:rPr>
        <w:t xml:space="preserve">zur Vermeidung </w:t>
      </w:r>
      <w:r w:rsidR="00885D8B" w:rsidRPr="00277FE6">
        <w:rPr>
          <w:rFonts w:ascii="Verdana" w:hAnsi="Verdana"/>
          <w:sz w:val="20"/>
        </w:rPr>
        <w:t>u</w:t>
      </w:r>
      <w:r w:rsidR="00B2501B" w:rsidRPr="00277FE6">
        <w:rPr>
          <w:rFonts w:ascii="Verdana" w:hAnsi="Verdana"/>
          <w:sz w:val="20"/>
        </w:rPr>
        <w:t xml:space="preserve">nzulässiger </w:t>
      </w:r>
      <w:r w:rsidR="00885D8B" w:rsidRPr="00277FE6">
        <w:rPr>
          <w:rFonts w:ascii="Verdana" w:hAnsi="Verdana"/>
          <w:sz w:val="20"/>
        </w:rPr>
        <w:t>Schadstoffanreicherung keine vollständige Schad</w:t>
      </w:r>
      <w:r w:rsidR="000762BC" w:rsidRPr="00277FE6">
        <w:rPr>
          <w:rFonts w:ascii="Verdana" w:hAnsi="Verdana"/>
          <w:sz w:val="20"/>
        </w:rPr>
        <w:t>stofffreiheit erforderlich</w:t>
      </w:r>
      <w:r w:rsidR="00E001D3" w:rsidRPr="00277FE6">
        <w:rPr>
          <w:rFonts w:ascii="Verdana" w:hAnsi="Verdana"/>
          <w:sz w:val="20"/>
        </w:rPr>
        <w:t xml:space="preserve"> [</w:t>
      </w:r>
      <w:r w:rsidR="00E001D3" w:rsidRPr="00277FE6">
        <w:rPr>
          <w:rStyle w:val="Endnotenzeichen"/>
          <w:rFonts w:ascii="Verdana" w:hAnsi="Verdana"/>
          <w:sz w:val="20"/>
        </w:rPr>
        <w:endnoteReference w:id="19"/>
      </w:r>
      <w:r w:rsidR="00E001D3" w:rsidRPr="00277FE6">
        <w:rPr>
          <w:rFonts w:ascii="Verdana" w:hAnsi="Verdana"/>
          <w:sz w:val="20"/>
        </w:rPr>
        <w:t>]</w:t>
      </w:r>
      <w:r w:rsidR="000762BC" w:rsidRPr="00277FE6">
        <w:rPr>
          <w:rFonts w:ascii="Verdana" w:hAnsi="Verdana"/>
          <w:sz w:val="20"/>
        </w:rPr>
        <w:t>.</w:t>
      </w:r>
      <w:r w:rsidR="006A7FE9" w:rsidRPr="00277FE6">
        <w:rPr>
          <w:rFonts w:ascii="Verdana" w:hAnsi="Verdana"/>
          <w:sz w:val="20"/>
        </w:rPr>
        <w:t xml:space="preserve"> </w:t>
      </w:r>
      <w:r w:rsidR="009E0B6F" w:rsidRPr="00277FE6">
        <w:rPr>
          <w:rFonts w:ascii="Verdana" w:hAnsi="Verdana"/>
          <w:sz w:val="20"/>
        </w:rPr>
        <w:t xml:space="preserve">Schadstoffanreicherungen im Sinne von § 7 Abs. 3 KrWG können als unbedenklich gelten, solange sie unterhalb der zulässigen Konzentrationen bleiben. </w:t>
      </w:r>
      <w:r w:rsidR="00AA03B8" w:rsidRPr="00277FE6">
        <w:rPr>
          <w:rFonts w:ascii="Verdana" w:hAnsi="Verdana"/>
          <w:sz w:val="20"/>
        </w:rPr>
        <w:t>Bei der Substitution von Primärrohstoffen kann keine höhere Schadstofffreiheit gefordert werden als bei Primärrohstoffen selbst</w:t>
      </w:r>
      <w:r w:rsidR="00EF3F04" w:rsidRPr="00277FE6">
        <w:rPr>
          <w:rFonts w:ascii="Verdana" w:hAnsi="Verdana"/>
          <w:sz w:val="20"/>
        </w:rPr>
        <w:t xml:space="preserve"> [</w:t>
      </w:r>
      <w:r w:rsidR="00F64017" w:rsidRPr="00277FE6">
        <w:rPr>
          <w:rStyle w:val="Endnotenzeichen"/>
          <w:rFonts w:ascii="Verdana" w:hAnsi="Verdana"/>
          <w:sz w:val="20"/>
        </w:rPr>
        <w:endnoteReference w:id="20"/>
      </w:r>
      <w:r w:rsidR="00EF3F04" w:rsidRPr="00277FE6">
        <w:rPr>
          <w:rFonts w:ascii="Verdana" w:hAnsi="Verdana"/>
          <w:sz w:val="20"/>
        </w:rPr>
        <w:t>]</w:t>
      </w:r>
      <w:r w:rsidR="00AA03B8" w:rsidRPr="00277FE6">
        <w:rPr>
          <w:rFonts w:ascii="Verdana" w:hAnsi="Verdana"/>
          <w:sz w:val="20"/>
        </w:rPr>
        <w:t>. Maßgeblich sind vielmehr die Verwendungsrisiken, die auch bei der Herstellung mit primären Rohstoffen akzeptiert werden</w:t>
      </w:r>
      <w:r w:rsidR="001E629C" w:rsidRPr="00277FE6">
        <w:rPr>
          <w:rFonts w:ascii="Verdana" w:hAnsi="Verdana"/>
          <w:sz w:val="20"/>
        </w:rPr>
        <w:t xml:space="preserve"> [</w:t>
      </w:r>
      <w:r w:rsidR="00F64017" w:rsidRPr="00277FE6">
        <w:rPr>
          <w:rStyle w:val="Endnotenzeichen"/>
          <w:rFonts w:ascii="Verdana" w:hAnsi="Verdana"/>
          <w:sz w:val="20"/>
        </w:rPr>
        <w:endnoteReference w:id="21"/>
      </w:r>
      <w:r w:rsidR="001E629C" w:rsidRPr="00277FE6">
        <w:rPr>
          <w:rFonts w:ascii="Verdana" w:hAnsi="Verdana"/>
          <w:sz w:val="20"/>
        </w:rPr>
        <w:t>]</w:t>
      </w:r>
      <w:r w:rsidR="00AA03B8" w:rsidRPr="00277FE6">
        <w:rPr>
          <w:rFonts w:ascii="Verdana" w:hAnsi="Verdana"/>
          <w:sz w:val="20"/>
        </w:rPr>
        <w:t>.</w:t>
      </w:r>
      <w:r w:rsidR="00AA03B8" w:rsidRPr="00277FE6">
        <w:rPr>
          <w:rFonts w:ascii="Verdana" w:hAnsi="Verdana"/>
          <w:sz w:val="20"/>
          <w:vertAlign w:val="superscript"/>
        </w:rPr>
        <w:t xml:space="preserve"> </w:t>
      </w:r>
    </w:p>
    <w:p w14:paraId="0A66AD6A" w14:textId="678E86FD" w:rsidR="00EA264E" w:rsidRPr="00277FE6" w:rsidRDefault="0056545C" w:rsidP="00893D4D">
      <w:pPr>
        <w:spacing w:after="120"/>
        <w:rPr>
          <w:rFonts w:ascii="Verdana" w:hAnsi="Verdana"/>
          <w:sz w:val="20"/>
        </w:rPr>
      </w:pPr>
      <w:r w:rsidRPr="00277FE6">
        <w:rPr>
          <w:rFonts w:ascii="Verdana" w:hAnsi="Verdana"/>
          <w:sz w:val="20"/>
        </w:rPr>
        <w:t>S</w:t>
      </w:r>
      <w:r w:rsidR="009B2686" w:rsidRPr="00277FE6">
        <w:rPr>
          <w:rFonts w:ascii="Verdana" w:hAnsi="Verdana"/>
          <w:sz w:val="20"/>
        </w:rPr>
        <w:t xml:space="preserve">elbst wenn einzelne Bestandteile von Sekundärrohstoffen als potenziell schädlich gelten, verlangt das Kreislaufwirtschaftsgesetz eine sorgfältige Abwägung. Einerseits sollen </w:t>
      </w:r>
      <w:r w:rsidR="009B2686" w:rsidRPr="00277FE6">
        <w:rPr>
          <w:rFonts w:ascii="Verdana" w:hAnsi="Verdana"/>
          <w:sz w:val="20"/>
        </w:rPr>
        <w:lastRenderedPageBreak/>
        <w:t>Ressourcen durch die Nutzung von Sekundärrohstoffen und die Verwertung von Abfällen geschont werden, andererseits müssen die Anforderungen an den Schutz der Umwelt und der menschlichen Gesundheit beachtet werden.</w:t>
      </w:r>
      <w:r w:rsidR="00C222D1" w:rsidRPr="00277FE6">
        <w:rPr>
          <w:rFonts w:ascii="Verdana" w:hAnsi="Verdana"/>
          <w:sz w:val="20"/>
        </w:rPr>
        <w:t xml:space="preserve"> </w:t>
      </w:r>
      <w:r w:rsidR="00955BFC" w:rsidRPr="00277FE6">
        <w:rPr>
          <w:rFonts w:ascii="Verdana" w:hAnsi="Verdana"/>
          <w:sz w:val="20"/>
        </w:rPr>
        <w:t>Somit ist z</w:t>
      </w:r>
      <w:r w:rsidR="00624101" w:rsidRPr="00277FE6">
        <w:rPr>
          <w:rFonts w:ascii="Verdana" w:hAnsi="Verdana"/>
          <w:sz w:val="20"/>
        </w:rPr>
        <w:t>wischen dem Gebot, durch die Verwertung von Abfällen Ressourcen zu schonen, und den abfallrechtlichen Anforderungen an das Wohl der Allgemeinheit</w:t>
      </w:r>
      <w:r w:rsidR="00955BFC" w:rsidRPr="00277FE6">
        <w:rPr>
          <w:rFonts w:ascii="Verdana" w:hAnsi="Verdana"/>
          <w:sz w:val="20"/>
        </w:rPr>
        <w:t xml:space="preserve"> eine Abwägung durchzuführen. </w:t>
      </w:r>
      <w:r w:rsidR="009B534D" w:rsidRPr="00277FE6">
        <w:rPr>
          <w:rFonts w:ascii="Verdana" w:hAnsi="Verdana"/>
          <w:sz w:val="20"/>
        </w:rPr>
        <w:t>Je nachdem, welchem Aspekt im Einzelfall der Vorrang einzuräumen ist, sind größere oder kleinere Schadstoffbelastungen bei der Abfallverwertung hinnehmbar</w:t>
      </w:r>
      <w:r w:rsidR="0049153E" w:rsidRPr="00277FE6">
        <w:rPr>
          <w:rFonts w:ascii="Verdana" w:hAnsi="Verdana"/>
          <w:sz w:val="20"/>
        </w:rPr>
        <w:t xml:space="preserve"> [</w:t>
      </w:r>
      <w:r w:rsidR="0049153E" w:rsidRPr="00277FE6">
        <w:rPr>
          <w:rStyle w:val="Endnotenzeichen"/>
          <w:rFonts w:ascii="Verdana" w:hAnsi="Verdana"/>
          <w:sz w:val="20"/>
        </w:rPr>
        <w:endnoteReference w:id="22"/>
      </w:r>
      <w:r w:rsidR="0049153E" w:rsidRPr="00277FE6">
        <w:rPr>
          <w:rFonts w:ascii="Verdana" w:hAnsi="Verdana"/>
          <w:sz w:val="20"/>
        </w:rPr>
        <w:t>]</w:t>
      </w:r>
      <w:r w:rsidR="009B534D" w:rsidRPr="00277FE6">
        <w:rPr>
          <w:rFonts w:ascii="Verdana" w:hAnsi="Verdana"/>
          <w:sz w:val="20"/>
        </w:rPr>
        <w:t>.</w:t>
      </w:r>
    </w:p>
    <w:p w14:paraId="435D4EDA" w14:textId="55CA4FF8" w:rsidR="00A502AB" w:rsidRPr="00277FE6" w:rsidRDefault="00A502AB" w:rsidP="00893D4D">
      <w:pPr>
        <w:spacing w:after="120"/>
        <w:rPr>
          <w:rFonts w:ascii="Verdana" w:hAnsi="Verdana"/>
          <w:sz w:val="20"/>
        </w:rPr>
      </w:pPr>
      <w:r w:rsidRPr="00277FE6">
        <w:rPr>
          <w:rFonts w:ascii="Verdana" w:hAnsi="Verdana"/>
          <w:sz w:val="20"/>
        </w:rPr>
        <w:t xml:space="preserve">Die Rechtsprechung verlangt eine Abwägung der Schadensrisiken, die sowohl durch das Verwertungsverfahren als auch durch das daraus entstehende Produkt in Bezug auf potenzielle Verunreinigungen oder Schadstoffbelastungen entstehen können, wobei </w:t>
      </w:r>
      <w:r w:rsidR="00450DD2" w:rsidRPr="00277FE6">
        <w:rPr>
          <w:rFonts w:ascii="Verdana" w:hAnsi="Verdana"/>
          <w:sz w:val="20"/>
        </w:rPr>
        <w:t xml:space="preserve">– </w:t>
      </w:r>
      <w:r w:rsidR="002C148B" w:rsidRPr="00277FE6">
        <w:rPr>
          <w:rFonts w:ascii="Verdana" w:hAnsi="Verdana"/>
          <w:sz w:val="20"/>
        </w:rPr>
        <w:t>um es nochmals zu betonen</w:t>
      </w:r>
      <w:r w:rsidR="00450DD2" w:rsidRPr="00277FE6">
        <w:rPr>
          <w:rFonts w:ascii="Verdana" w:hAnsi="Verdana"/>
          <w:sz w:val="20"/>
        </w:rPr>
        <w:t xml:space="preserve"> - </w:t>
      </w:r>
      <w:r w:rsidRPr="00277FE6">
        <w:rPr>
          <w:rFonts w:ascii="Verdana" w:hAnsi="Verdana"/>
          <w:sz w:val="20"/>
        </w:rPr>
        <w:t>keine absolute Schadstofffreiheit gefordert wird</w:t>
      </w:r>
      <w:r w:rsidR="00365F0A" w:rsidRPr="00277FE6">
        <w:rPr>
          <w:rFonts w:ascii="Verdana" w:hAnsi="Verdana"/>
          <w:sz w:val="20"/>
        </w:rPr>
        <w:t xml:space="preserve"> </w:t>
      </w:r>
      <w:r w:rsidR="005D7951" w:rsidRPr="00277FE6">
        <w:rPr>
          <w:rFonts w:ascii="Verdana" w:hAnsi="Verdana"/>
          <w:sz w:val="20"/>
        </w:rPr>
        <w:t>[</w:t>
      </w:r>
      <w:r w:rsidR="005D7951" w:rsidRPr="00277FE6">
        <w:rPr>
          <w:rStyle w:val="Endnotenzeichen"/>
          <w:rFonts w:ascii="Verdana" w:hAnsi="Verdana"/>
          <w:sz w:val="20"/>
        </w:rPr>
        <w:endnoteReference w:id="23"/>
      </w:r>
      <w:r w:rsidR="005D7951" w:rsidRPr="00277FE6">
        <w:rPr>
          <w:rFonts w:ascii="Verdana" w:hAnsi="Verdana"/>
          <w:sz w:val="20"/>
        </w:rPr>
        <w:t>]</w:t>
      </w:r>
      <w:r w:rsidRPr="00277FE6">
        <w:rPr>
          <w:rFonts w:ascii="Verdana" w:hAnsi="Verdana"/>
          <w:sz w:val="20"/>
        </w:rPr>
        <w:t>.</w:t>
      </w:r>
      <w:r w:rsidR="007460E4">
        <w:rPr>
          <w:rFonts w:ascii="Verdana" w:hAnsi="Verdana"/>
          <w:sz w:val="20"/>
        </w:rPr>
        <w:t xml:space="preserve"> </w:t>
      </w:r>
      <w:r w:rsidR="00355833" w:rsidRPr="00277FE6">
        <w:rPr>
          <w:rFonts w:ascii="Verdana" w:hAnsi="Verdana"/>
          <w:sz w:val="20"/>
        </w:rPr>
        <w:t xml:space="preserve">Maßnahmen zur Risikovorsorge dürfen nicht allein auf hypothetischen Annahmen basieren. Ein Risiko muss tatsächlich bestehen und nicht nur eine entfernte Möglichkeit darstellen, damit die Vorsorge auf einer fundierten Prognose </w:t>
      </w:r>
      <w:r w:rsidR="00A0672A" w:rsidRPr="00277FE6">
        <w:rPr>
          <w:rFonts w:ascii="Verdana" w:hAnsi="Verdana"/>
          <w:sz w:val="20"/>
        </w:rPr>
        <w:t>und Gefa</w:t>
      </w:r>
      <w:r w:rsidR="00AF7291" w:rsidRPr="00277FE6">
        <w:rPr>
          <w:rFonts w:ascii="Verdana" w:hAnsi="Verdana"/>
          <w:sz w:val="20"/>
        </w:rPr>
        <w:t xml:space="preserve">hrenanalyse </w:t>
      </w:r>
      <w:r w:rsidR="00355833" w:rsidRPr="00277FE6">
        <w:rPr>
          <w:rFonts w:ascii="Verdana" w:hAnsi="Verdana"/>
          <w:sz w:val="20"/>
        </w:rPr>
        <w:t>basiert</w:t>
      </w:r>
      <w:r w:rsidR="00995051" w:rsidRPr="00277FE6">
        <w:rPr>
          <w:rFonts w:ascii="Verdana" w:hAnsi="Verdana"/>
          <w:sz w:val="20"/>
        </w:rPr>
        <w:t xml:space="preserve"> [</w:t>
      </w:r>
      <w:r w:rsidR="00365F0A" w:rsidRPr="00277FE6">
        <w:rPr>
          <w:rStyle w:val="Endnotenzeichen"/>
          <w:rFonts w:ascii="Verdana" w:hAnsi="Verdana"/>
          <w:sz w:val="20"/>
        </w:rPr>
        <w:endnoteReference w:id="24"/>
      </w:r>
      <w:r w:rsidR="00365F0A" w:rsidRPr="00277FE6">
        <w:rPr>
          <w:rFonts w:ascii="Verdana" w:hAnsi="Verdana"/>
          <w:sz w:val="20"/>
        </w:rPr>
        <w:t xml:space="preserve">, </w:t>
      </w:r>
      <w:r w:rsidR="00995051" w:rsidRPr="00277FE6">
        <w:rPr>
          <w:rStyle w:val="Endnotenzeichen"/>
          <w:rFonts w:ascii="Verdana" w:hAnsi="Verdana"/>
          <w:sz w:val="20"/>
        </w:rPr>
        <w:endnoteReference w:id="25"/>
      </w:r>
      <w:r w:rsidR="00365F0A" w:rsidRPr="00277FE6">
        <w:rPr>
          <w:rFonts w:ascii="Verdana" w:hAnsi="Verdana"/>
          <w:sz w:val="20"/>
        </w:rPr>
        <w:t>].</w:t>
      </w:r>
      <w:r w:rsidR="00484525" w:rsidRPr="00277FE6">
        <w:rPr>
          <w:rStyle w:val="Funotenzeichen"/>
          <w:rFonts w:ascii="Verdana" w:hAnsi="Verdana"/>
          <w:sz w:val="20"/>
        </w:rPr>
        <w:t xml:space="preserve"> Ein solches Vorgehen erfordert eine genaue Kenntnis der risikorelevanten Faktoren, wie Zusammensetzung, Konzentration, Eintragsmenge und Gefährlichkeitsgrad, um die Verhältnismäßigkeit der Maßnahmen bestimmen zu können. Unterhalb einer klar definierten Gefahrenschwelle ist in der Regel keine weitergehende Vorsorge erforderlich</w:t>
      </w:r>
      <w:r w:rsidR="00365F0A" w:rsidRPr="00277FE6">
        <w:rPr>
          <w:rFonts w:ascii="Verdana" w:hAnsi="Verdana"/>
          <w:sz w:val="20"/>
        </w:rPr>
        <w:t xml:space="preserve"> [</w:t>
      </w:r>
      <w:r w:rsidR="00365F0A" w:rsidRPr="00277FE6">
        <w:rPr>
          <w:rStyle w:val="Endnotenzeichen"/>
          <w:rFonts w:ascii="Verdana" w:hAnsi="Verdana"/>
          <w:sz w:val="20"/>
        </w:rPr>
        <w:endnoteReference w:id="26"/>
      </w:r>
      <w:r w:rsidR="00365F0A" w:rsidRPr="00277FE6">
        <w:rPr>
          <w:rFonts w:ascii="Verdana" w:hAnsi="Verdana"/>
          <w:sz w:val="20"/>
        </w:rPr>
        <w:t>]</w:t>
      </w:r>
      <w:r w:rsidR="00484525" w:rsidRPr="00277FE6">
        <w:rPr>
          <w:rStyle w:val="Funotenzeichen"/>
          <w:rFonts w:ascii="Verdana" w:hAnsi="Verdana"/>
          <w:sz w:val="20"/>
        </w:rPr>
        <w:t>.</w:t>
      </w:r>
      <w:r w:rsidR="0028425C" w:rsidRPr="00277FE6">
        <w:rPr>
          <w:rStyle w:val="Funotenzeichen"/>
          <w:rFonts w:ascii="Verdana" w:hAnsi="Verdana"/>
          <w:sz w:val="20"/>
          <w:vertAlign w:val="superscript"/>
        </w:rPr>
        <w:t xml:space="preserve"> </w:t>
      </w:r>
    </w:p>
    <w:p w14:paraId="64EB3FFF" w14:textId="3C6928E2" w:rsidR="00C222D1" w:rsidRPr="00277FE6" w:rsidRDefault="00C222D1" w:rsidP="00893D4D">
      <w:pPr>
        <w:spacing w:after="120"/>
        <w:rPr>
          <w:rFonts w:ascii="Verdana" w:hAnsi="Verdana"/>
          <w:sz w:val="20"/>
        </w:rPr>
      </w:pPr>
      <w:r w:rsidRPr="00277FE6">
        <w:rPr>
          <w:rFonts w:ascii="Verdana" w:hAnsi="Verdana"/>
          <w:sz w:val="20"/>
        </w:rPr>
        <w:t xml:space="preserve">Diese Abwägung bei der Festlegung der in den </w:t>
      </w:r>
      <w:proofErr w:type="spellStart"/>
      <w:r w:rsidRPr="00277FE6">
        <w:rPr>
          <w:rFonts w:ascii="Verdana" w:hAnsi="Verdana"/>
          <w:sz w:val="20"/>
        </w:rPr>
        <w:t>ABuG</w:t>
      </w:r>
      <w:proofErr w:type="spellEnd"/>
      <w:r w:rsidRPr="00277FE6">
        <w:rPr>
          <w:rFonts w:ascii="Verdana" w:hAnsi="Verdana"/>
          <w:sz w:val="20"/>
        </w:rPr>
        <w:t xml:space="preserve"> festgelegten Feststoffgrenzwerten auf Basis einer auf die Schutzgüter (Umweltmedien, menschliche Gesundheit) bezogenen fachlich-wissenschaftlichen Grundlage </w:t>
      </w:r>
      <w:r w:rsidR="007460E4" w:rsidRPr="00277FE6">
        <w:rPr>
          <w:rFonts w:ascii="Verdana" w:hAnsi="Verdana"/>
          <w:sz w:val="20"/>
        </w:rPr>
        <w:t xml:space="preserve">ist nicht </w:t>
      </w:r>
      <w:r w:rsidRPr="00277FE6">
        <w:rPr>
          <w:rFonts w:ascii="Verdana" w:hAnsi="Verdana"/>
          <w:sz w:val="20"/>
        </w:rPr>
        <w:t>erfolgt. Eine realistische Bewertung der Risikopotenzials muss sich – wie bei der EBV mit dem vorlaufenden UBA-Fac</w:t>
      </w:r>
      <w:r w:rsidR="00A3332F" w:rsidRPr="00277FE6">
        <w:rPr>
          <w:rFonts w:ascii="Verdana" w:hAnsi="Verdana"/>
          <w:sz w:val="20"/>
        </w:rPr>
        <w:t>h</w:t>
      </w:r>
      <w:r w:rsidRPr="00277FE6">
        <w:rPr>
          <w:rFonts w:ascii="Verdana" w:hAnsi="Verdana"/>
          <w:sz w:val="20"/>
        </w:rPr>
        <w:t>konzept geschehen – auf die fachlich-wissenschaftliche Prüfung und Bewertung der Wahrscheinlichkeit eines tatsächlichen Risikos stützen und nicht auf bloße Vermutungen.</w:t>
      </w:r>
    </w:p>
    <w:p w14:paraId="0D66CA2F" w14:textId="77777777" w:rsidR="00734B50" w:rsidRDefault="00734B50" w:rsidP="00893D4D">
      <w:pPr>
        <w:spacing w:after="120"/>
        <w:rPr>
          <w:rFonts w:ascii="Verdana" w:hAnsi="Verdana"/>
          <w:sz w:val="20"/>
        </w:rPr>
      </w:pPr>
    </w:p>
    <w:p w14:paraId="561ED2AC" w14:textId="151AA97D" w:rsidR="00243D32" w:rsidRPr="0071027B" w:rsidRDefault="00243D32" w:rsidP="0091363C">
      <w:pPr>
        <w:spacing w:after="120"/>
        <w:rPr>
          <w:rFonts w:ascii="Verdana" w:hAnsi="Verdana"/>
          <w:b/>
          <w:bCs/>
          <w:sz w:val="20"/>
        </w:rPr>
      </w:pPr>
      <w:r w:rsidRPr="0071027B">
        <w:rPr>
          <w:rFonts w:ascii="Verdana" w:hAnsi="Verdana"/>
          <w:b/>
          <w:bCs/>
          <w:sz w:val="20"/>
        </w:rPr>
        <w:t xml:space="preserve">Bewertung des </w:t>
      </w:r>
      <w:r w:rsidR="00AA707A">
        <w:rPr>
          <w:rFonts w:ascii="Verdana" w:hAnsi="Verdana"/>
          <w:b/>
          <w:bCs/>
          <w:sz w:val="20"/>
        </w:rPr>
        <w:t>“</w:t>
      </w:r>
      <w:r w:rsidRPr="0071027B">
        <w:rPr>
          <w:rFonts w:ascii="Verdana" w:hAnsi="Verdana"/>
          <w:b/>
          <w:bCs/>
          <w:sz w:val="20"/>
        </w:rPr>
        <w:t>Second</w:t>
      </w:r>
      <w:r w:rsidR="00AA707A">
        <w:rPr>
          <w:rFonts w:ascii="Verdana" w:hAnsi="Verdana"/>
          <w:b/>
          <w:bCs/>
          <w:sz w:val="20"/>
        </w:rPr>
        <w:t xml:space="preserve"> </w:t>
      </w:r>
      <w:r w:rsidRPr="0071027B">
        <w:rPr>
          <w:rFonts w:ascii="Verdana" w:hAnsi="Verdana"/>
          <w:b/>
          <w:bCs/>
          <w:sz w:val="20"/>
        </w:rPr>
        <w:t>Life</w:t>
      </w:r>
      <w:r w:rsidR="00AA707A">
        <w:rPr>
          <w:rFonts w:ascii="Verdana" w:hAnsi="Verdana"/>
          <w:b/>
          <w:bCs/>
          <w:sz w:val="20"/>
        </w:rPr>
        <w:t>“ von Beton</w:t>
      </w:r>
    </w:p>
    <w:p w14:paraId="1A3627D2" w14:textId="0E816F42" w:rsidR="000D1505" w:rsidRPr="00277FE6" w:rsidRDefault="000D1505" w:rsidP="00B51C65">
      <w:pPr>
        <w:spacing w:after="120"/>
        <w:rPr>
          <w:rFonts w:ascii="Verdana" w:hAnsi="Verdana"/>
          <w:sz w:val="20"/>
        </w:rPr>
      </w:pPr>
      <w:r w:rsidRPr="00277FE6">
        <w:rPr>
          <w:rFonts w:ascii="Verdana" w:hAnsi="Verdana"/>
          <w:sz w:val="20"/>
        </w:rPr>
        <w:t xml:space="preserve">Nach dem ersten Lebenszyklus eines Bauwerks wird Beton i. d. R. recycelt und erneut in Bauprojekten verwendet. Entscheidend ist dabei: Wenn Sekundärrohstoffe während der Nutzungsphase des Betons keine Schadstoffe darstellen, besteht auch nach dem Abbruch </w:t>
      </w:r>
      <w:r w:rsidR="007460E4" w:rsidRPr="00277FE6">
        <w:rPr>
          <w:rFonts w:ascii="Verdana" w:hAnsi="Verdana"/>
          <w:sz w:val="20"/>
        </w:rPr>
        <w:t xml:space="preserve">kein Risiko einer Schadstoffanreicherung </w:t>
      </w:r>
      <w:r w:rsidR="007460E4">
        <w:rPr>
          <w:rFonts w:ascii="Verdana" w:hAnsi="Verdana"/>
          <w:sz w:val="20"/>
        </w:rPr>
        <w:t xml:space="preserve">und </w:t>
      </w:r>
      <w:r w:rsidRPr="00277FE6">
        <w:rPr>
          <w:rFonts w:ascii="Verdana" w:hAnsi="Verdana"/>
          <w:sz w:val="20"/>
        </w:rPr>
        <w:t>mit Blick auf eine anschließende Aufbereitung eine erneute Verwendung (etwa im Tiefbau als RC-Baustoff nach EBV oder als Beton-</w:t>
      </w:r>
      <w:r w:rsidRPr="00277FE6">
        <w:rPr>
          <w:rFonts w:ascii="Verdana" w:hAnsi="Verdana"/>
          <w:sz w:val="20"/>
        </w:rPr>
        <w:lastRenderedPageBreak/>
        <w:t xml:space="preserve">Ausgangsstoff im Hochbau) </w:t>
      </w:r>
      <w:r w:rsidR="007460E4" w:rsidRPr="00277FE6">
        <w:rPr>
          <w:rFonts w:ascii="Verdana" w:hAnsi="Verdana"/>
          <w:sz w:val="20"/>
        </w:rPr>
        <w:t xml:space="preserve">auch </w:t>
      </w:r>
      <w:r w:rsidRPr="00277FE6">
        <w:rPr>
          <w:rFonts w:ascii="Verdana" w:hAnsi="Verdana"/>
          <w:sz w:val="20"/>
        </w:rPr>
        <w:t>kein Verwendungsrisiko während der nächsten Nutzungsphase.</w:t>
      </w:r>
    </w:p>
    <w:p w14:paraId="2254DE0B" w14:textId="5112E4EC" w:rsidR="00541E0B" w:rsidRPr="00277FE6" w:rsidRDefault="00541E0B" w:rsidP="00541E0B">
      <w:pPr>
        <w:spacing w:after="120"/>
        <w:rPr>
          <w:rFonts w:ascii="Verdana" w:hAnsi="Verdana"/>
          <w:sz w:val="20"/>
        </w:rPr>
      </w:pPr>
      <w:r w:rsidRPr="00277FE6">
        <w:rPr>
          <w:rFonts w:ascii="Verdana" w:hAnsi="Verdana"/>
          <w:sz w:val="20"/>
        </w:rPr>
        <w:t>Der Recyclingprozess für mineralische Bauabfälle ist bisher eher durch einen nur moderaten technischen Aufwand geprägt. Es ist absehbar, dass die Zukunft des Betonrecyclings in erheblichem Maße auf die Erreichung von Sortenreinheit abzielen wird, weil dies eine erheblich höherwertige Wiederve</w:t>
      </w:r>
      <w:r w:rsidR="00E7696D">
        <w:rPr>
          <w:rFonts w:ascii="Verdana" w:hAnsi="Verdana"/>
          <w:sz w:val="20"/>
        </w:rPr>
        <w:t>r</w:t>
      </w:r>
      <w:r w:rsidR="004E6765" w:rsidRPr="00277FE6">
        <w:rPr>
          <w:rFonts w:ascii="Verdana" w:hAnsi="Verdana"/>
          <w:sz w:val="20"/>
        </w:rPr>
        <w:t>wendung</w:t>
      </w:r>
      <w:r w:rsidRPr="00277FE6">
        <w:rPr>
          <w:rFonts w:ascii="Verdana" w:hAnsi="Verdana"/>
          <w:sz w:val="20"/>
        </w:rPr>
        <w:t xml:space="preserve"> ermöglicht. </w:t>
      </w:r>
    </w:p>
    <w:p w14:paraId="303536E5" w14:textId="26024D08" w:rsidR="000D1505" w:rsidRPr="00277FE6" w:rsidRDefault="004D1024" w:rsidP="00541E0B">
      <w:pPr>
        <w:spacing w:after="120"/>
        <w:rPr>
          <w:rFonts w:ascii="Verdana" w:hAnsi="Verdana"/>
          <w:sz w:val="20"/>
        </w:rPr>
      </w:pPr>
      <w:r w:rsidRPr="00277FE6">
        <w:rPr>
          <w:rFonts w:ascii="Verdana" w:hAnsi="Verdana"/>
          <w:sz w:val="20"/>
        </w:rPr>
        <w:t>Besonders</w:t>
      </w:r>
      <w:r w:rsidR="00541E0B" w:rsidRPr="00277FE6">
        <w:rPr>
          <w:rFonts w:ascii="Verdana" w:hAnsi="Verdana"/>
          <w:sz w:val="20"/>
        </w:rPr>
        <w:t xml:space="preserve"> in der Beton- und Zementindustrie zeichnet sich ein deutlicher Trend ab, der auf sortenreine Verwertung und die dafür erforderliche Optimierung der Aufbereitungstechnik abzielt. Das Hauptziel besteht bereits jetzt zweifellos darin, mineralische Bauabfälle in den Kreislauf der Baustoffe zurückzuführen, um natürliche Ressourcen zu schonen und CO</w:t>
      </w:r>
      <w:r w:rsidR="00541E0B" w:rsidRPr="00277FE6">
        <w:rPr>
          <w:rFonts w:ascii="Verdana" w:hAnsi="Verdana"/>
          <w:sz w:val="20"/>
          <w:vertAlign w:val="subscript"/>
        </w:rPr>
        <w:t>2</w:t>
      </w:r>
      <w:r w:rsidR="00541E0B" w:rsidRPr="00277FE6">
        <w:rPr>
          <w:rFonts w:ascii="Verdana" w:hAnsi="Verdana"/>
          <w:sz w:val="20"/>
        </w:rPr>
        <w:t>-Emissionen zu reduzieren. Dies beinhaltet den Einsatz von recyceltem Gesteinskörnungsmaterial anstelle von Naturstein und die Verwendung von "</w:t>
      </w:r>
      <w:proofErr w:type="spellStart"/>
      <w:r w:rsidR="00541E0B" w:rsidRPr="00277FE6">
        <w:rPr>
          <w:rFonts w:ascii="Verdana" w:hAnsi="Verdana"/>
          <w:sz w:val="20"/>
        </w:rPr>
        <w:t>Concrete</w:t>
      </w:r>
      <w:proofErr w:type="spellEnd"/>
      <w:r w:rsidR="00541E0B" w:rsidRPr="00277FE6">
        <w:rPr>
          <w:rFonts w:ascii="Verdana" w:hAnsi="Verdana"/>
          <w:sz w:val="20"/>
        </w:rPr>
        <w:t xml:space="preserve"> Fines" (entweder unbehandelt oder nach </w:t>
      </w:r>
      <w:proofErr w:type="spellStart"/>
      <w:r w:rsidR="00541E0B" w:rsidRPr="00277FE6">
        <w:rPr>
          <w:rFonts w:ascii="Verdana" w:hAnsi="Verdana"/>
          <w:sz w:val="20"/>
        </w:rPr>
        <w:t>Zwangskarbonatisierung</w:t>
      </w:r>
      <w:proofErr w:type="spellEnd"/>
      <w:r w:rsidR="00541E0B" w:rsidRPr="00277FE6">
        <w:rPr>
          <w:rFonts w:ascii="Verdana" w:hAnsi="Verdana"/>
          <w:sz w:val="20"/>
        </w:rPr>
        <w:t>) als gemahlener Zementbestandteil (entsprechend der EN 197-6). Eine Verschleppung in andere Materialkreisläufe und damit einhergehende eventuelle Probleme hinsichtlich der Produktverantwortung ist daher bereits jetzt nicht mehr Stand der Technik und wird zunehmend unwahrscheinlicher.</w:t>
      </w:r>
      <w:r w:rsidR="00180458" w:rsidRPr="00277FE6">
        <w:rPr>
          <w:rFonts w:ascii="Verdana" w:hAnsi="Verdana"/>
          <w:sz w:val="20"/>
        </w:rPr>
        <w:t xml:space="preserve"> </w:t>
      </w:r>
      <w:r w:rsidR="00541E0B" w:rsidRPr="00277FE6">
        <w:rPr>
          <w:rFonts w:ascii="Verdana" w:hAnsi="Verdana"/>
          <w:sz w:val="20"/>
        </w:rPr>
        <w:t xml:space="preserve">So kann nach einer sortenreinen Trennung Betonabbruchmaterial entweder qualitätsgesichert nach den Vorgaben der Ersatzbaustoffverordnung aufbereitet und in technischen Bauwerken eingesetzt oder für die erneute Herstellung von Beton wiederverwendet werden. Im letzteren Fall liegt der Fokus auf der Prüfung des fertigen Bauprodukts, wie oben </w:t>
      </w:r>
      <w:r w:rsidR="000B78D6" w:rsidRPr="00277FE6">
        <w:rPr>
          <w:rFonts w:ascii="Verdana" w:hAnsi="Verdana"/>
          <w:sz w:val="20"/>
        </w:rPr>
        <w:t xml:space="preserve">für die Phase des „First Life“ </w:t>
      </w:r>
      <w:r w:rsidR="00541E0B" w:rsidRPr="00277FE6">
        <w:rPr>
          <w:rFonts w:ascii="Verdana" w:hAnsi="Verdana"/>
          <w:sz w:val="20"/>
        </w:rPr>
        <w:t>bereits dargelegt.</w:t>
      </w:r>
    </w:p>
    <w:p w14:paraId="412BE04B" w14:textId="5B6B8D1A" w:rsidR="00B51C65" w:rsidRPr="00277FE6" w:rsidRDefault="005F130B" w:rsidP="00B51C65">
      <w:pPr>
        <w:spacing w:after="120"/>
        <w:rPr>
          <w:rFonts w:ascii="Verdana" w:hAnsi="Verdana"/>
          <w:sz w:val="20"/>
        </w:rPr>
      </w:pPr>
      <w:r w:rsidRPr="00277FE6">
        <w:rPr>
          <w:rFonts w:ascii="Verdana" w:hAnsi="Verdana"/>
          <w:sz w:val="20"/>
        </w:rPr>
        <w:t xml:space="preserve">Von großer Bedeutung </w:t>
      </w:r>
      <w:r w:rsidR="00E7696D" w:rsidRPr="00277FE6">
        <w:rPr>
          <w:rFonts w:ascii="Verdana" w:hAnsi="Verdana"/>
          <w:sz w:val="20"/>
        </w:rPr>
        <w:t xml:space="preserve">ist </w:t>
      </w:r>
      <w:r w:rsidRPr="00277FE6">
        <w:rPr>
          <w:rFonts w:ascii="Verdana" w:hAnsi="Verdana"/>
          <w:sz w:val="20"/>
        </w:rPr>
        <w:t>in diesem Zusammenhang ein Urteil des VGH München</w:t>
      </w:r>
      <w:r w:rsidR="007A5E37" w:rsidRPr="00277FE6">
        <w:rPr>
          <w:rFonts w:ascii="Verdana" w:hAnsi="Verdana"/>
          <w:sz w:val="20"/>
        </w:rPr>
        <w:t xml:space="preserve"> [</w:t>
      </w:r>
      <w:bookmarkStart w:id="4" w:name="_Ref181714711"/>
      <w:r w:rsidR="007A5E37" w:rsidRPr="00277FE6">
        <w:rPr>
          <w:rStyle w:val="Endnotenzeichen"/>
          <w:rFonts w:ascii="Verdana" w:hAnsi="Verdana"/>
          <w:sz w:val="20"/>
        </w:rPr>
        <w:endnoteReference w:id="27"/>
      </w:r>
      <w:bookmarkEnd w:id="4"/>
      <w:r w:rsidR="007A5E37" w:rsidRPr="00277FE6">
        <w:rPr>
          <w:rFonts w:ascii="Verdana" w:hAnsi="Verdana"/>
          <w:sz w:val="20"/>
        </w:rPr>
        <w:t>]</w:t>
      </w:r>
      <w:r w:rsidRPr="00277FE6">
        <w:rPr>
          <w:rFonts w:ascii="Verdana" w:hAnsi="Verdana"/>
          <w:sz w:val="20"/>
        </w:rPr>
        <w:t xml:space="preserve">, </w:t>
      </w:r>
      <w:proofErr w:type="gramStart"/>
      <w:r w:rsidRPr="00277FE6">
        <w:rPr>
          <w:rFonts w:ascii="Verdana" w:hAnsi="Verdana"/>
          <w:sz w:val="20"/>
        </w:rPr>
        <w:t>das</w:t>
      </w:r>
      <w:proofErr w:type="gramEnd"/>
      <w:r w:rsidRPr="00277FE6">
        <w:rPr>
          <w:rFonts w:ascii="Verdana" w:hAnsi="Verdana"/>
          <w:sz w:val="20"/>
        </w:rPr>
        <w:t xml:space="preserve"> sich mit der Beurteilung der Schadlosigkeit der Verwertung nach § 7 KrWG befasst. In diesem Urteil und </w:t>
      </w:r>
      <w:r w:rsidR="002B5593" w:rsidRPr="00277FE6">
        <w:rPr>
          <w:rFonts w:ascii="Verdana" w:hAnsi="Verdana"/>
          <w:sz w:val="20"/>
        </w:rPr>
        <w:t xml:space="preserve">der einschlägigen </w:t>
      </w:r>
      <w:r w:rsidR="007A5E37" w:rsidRPr="00277FE6">
        <w:rPr>
          <w:rFonts w:ascii="Verdana" w:hAnsi="Verdana"/>
          <w:sz w:val="20"/>
        </w:rPr>
        <w:t>Kommentierung</w:t>
      </w:r>
      <w:r w:rsidR="002B5593" w:rsidRPr="00277FE6">
        <w:rPr>
          <w:rFonts w:ascii="Verdana" w:hAnsi="Verdana"/>
          <w:sz w:val="20"/>
        </w:rPr>
        <w:t xml:space="preserve"> </w:t>
      </w:r>
      <w:r w:rsidR="007A5E37" w:rsidRPr="00277FE6">
        <w:rPr>
          <w:rFonts w:ascii="Verdana" w:hAnsi="Verdana"/>
          <w:sz w:val="20"/>
        </w:rPr>
        <w:t xml:space="preserve">wird klargestellt, dass die spätere Verwertung eines Bauprodukts am Ende seines Lebenszyklus bei der Beurteilung der Schadlosigkeit der Verwertung keine Rolle spielen darf. </w:t>
      </w:r>
      <w:r w:rsidR="00B51C65" w:rsidRPr="00277FE6">
        <w:rPr>
          <w:rFonts w:ascii="Verdana" w:hAnsi="Verdana"/>
          <w:sz w:val="20"/>
        </w:rPr>
        <w:t xml:space="preserve">So führt das VGH München aus, dass </w:t>
      </w:r>
    </w:p>
    <w:p w14:paraId="4B486B19" w14:textId="01F19B4D" w:rsidR="00B51C65" w:rsidRPr="002056E7" w:rsidRDefault="00B51C65" w:rsidP="00B51C65">
      <w:pPr>
        <w:spacing w:after="120"/>
        <w:ind w:left="708"/>
        <w:rPr>
          <w:rFonts w:ascii="Verdana" w:hAnsi="Verdana"/>
          <w:sz w:val="20"/>
        </w:rPr>
      </w:pPr>
      <w:r w:rsidRPr="002056E7">
        <w:rPr>
          <w:rFonts w:ascii="Verdana" w:hAnsi="Verdana"/>
          <w:sz w:val="20"/>
        </w:rPr>
        <w:t>„</w:t>
      </w:r>
      <w:r w:rsidRPr="002056E7">
        <w:rPr>
          <w:rFonts w:ascii="Verdana" w:hAnsi="Verdana"/>
          <w:i/>
          <w:iCs/>
          <w:sz w:val="20"/>
        </w:rPr>
        <w:t xml:space="preserve">eine weitreichende Erstreckung des Erfordernisses der Schadlosigkeit bis zur Entsorgung des Verwertungsprodukts sachlich und systematisch durchaus fragwürdig (erscheint). Zum einen gilt es zu bedenken, dass die Verwertung und damit das Entsorgungsregime des Kreislaufwirtschaftsrechts bereits mit der Herstellung eines gefahrlos verwendeten Produkts endet und nicht zugleich auch </w:t>
      </w:r>
      <w:r w:rsidRPr="002056E7">
        <w:rPr>
          <w:rFonts w:ascii="Verdana" w:hAnsi="Verdana"/>
          <w:i/>
          <w:iCs/>
          <w:sz w:val="20"/>
        </w:rPr>
        <w:lastRenderedPageBreak/>
        <w:t>bis in dessen (erneuter oder weiterer) Entsorgungsphase fortwirkt. Zum anderen ist zu beachten, dass bereits für den normalen Produktionsbereich keine generellen Anforderungen zur späteren Entsorgungstauglichkeit gestellt werden, sondern solche Anforderungen ausschließlich produkt-spezifisch durch Rechtsverordnungen zur Produktverantwortung gemäß §§ 24 und 25 KrWG begründet werden können. Die spätere Entsorgung ist weder im Rahmen des § 5 Absatz 1 KrWG noch des § 7 Absatz 3 KrWG von Bedeutung</w:t>
      </w:r>
      <w:r w:rsidRPr="002056E7">
        <w:rPr>
          <w:rFonts w:ascii="Verdana" w:hAnsi="Verdana"/>
          <w:sz w:val="20"/>
        </w:rPr>
        <w:t>“.</w:t>
      </w:r>
    </w:p>
    <w:p w14:paraId="5FE78962" w14:textId="50A9DC51" w:rsidR="00E7696D" w:rsidRPr="00277FE6" w:rsidRDefault="00E7696D" w:rsidP="00E7696D">
      <w:pPr>
        <w:spacing w:after="120"/>
        <w:rPr>
          <w:rFonts w:ascii="Verdana" w:hAnsi="Verdana"/>
          <w:sz w:val="20"/>
        </w:rPr>
      </w:pPr>
      <w:r w:rsidRPr="00277FE6">
        <w:rPr>
          <w:rFonts w:ascii="Verdana" w:hAnsi="Verdana"/>
          <w:sz w:val="20"/>
        </w:rPr>
        <w:t xml:space="preserve">Fehlen unmittelbar anwendbare Regelungen oder Verwaltungsvorschriften zur Beurteilung der Verwendung industrieller Nebenprodukte in Bauprodukten, können die zuständigen Behörden die Schadlosigkeit der Verwertung im Rahmen einer Einzelfallbetrachtung anhand von Gutachten bewerten. Ein Beispiel hierfür liefert </w:t>
      </w:r>
      <w:r>
        <w:rPr>
          <w:rFonts w:ascii="Verdana" w:hAnsi="Verdana"/>
          <w:sz w:val="20"/>
        </w:rPr>
        <w:t xml:space="preserve">ebenfalls </w:t>
      </w:r>
      <w:r w:rsidRPr="00277FE6">
        <w:rPr>
          <w:rFonts w:ascii="Verdana" w:hAnsi="Verdana"/>
          <w:sz w:val="20"/>
        </w:rPr>
        <w:t xml:space="preserve">der </w:t>
      </w:r>
      <w:r>
        <w:rPr>
          <w:rFonts w:ascii="Verdana" w:hAnsi="Verdana"/>
          <w:sz w:val="20"/>
        </w:rPr>
        <w:t>VGH</w:t>
      </w:r>
      <w:r w:rsidRPr="00277FE6">
        <w:rPr>
          <w:rFonts w:ascii="Verdana" w:hAnsi="Verdana"/>
          <w:sz w:val="20"/>
        </w:rPr>
        <w:t xml:space="preserve"> München, der bei der </w:t>
      </w:r>
      <w:r>
        <w:rPr>
          <w:rFonts w:ascii="Verdana" w:hAnsi="Verdana"/>
          <w:sz w:val="20"/>
        </w:rPr>
        <w:t xml:space="preserve">o. g. </w:t>
      </w:r>
      <w:r w:rsidRPr="00277FE6">
        <w:rPr>
          <w:rFonts w:ascii="Verdana" w:hAnsi="Verdana"/>
          <w:sz w:val="20"/>
        </w:rPr>
        <w:t>Beurteilung der Schadlosigkeit von Teppichbodenstanzresten als Reitbodenbelag ausschließlich auf Gutachten [</w:t>
      </w:r>
      <w:r w:rsidRPr="00277FE6">
        <w:rPr>
          <w:rStyle w:val="Endnotenzeichen"/>
          <w:rFonts w:ascii="Verdana" w:hAnsi="Verdana"/>
          <w:sz w:val="20"/>
        </w:rPr>
        <w:endnoteReference w:id="28"/>
      </w:r>
      <w:r w:rsidRPr="00277FE6">
        <w:rPr>
          <w:rFonts w:ascii="Verdana" w:hAnsi="Verdana"/>
          <w:sz w:val="20"/>
        </w:rPr>
        <w:t xml:space="preserve">] abgestellt hat. Solche Gutachten </w:t>
      </w:r>
      <w:r>
        <w:rPr>
          <w:rFonts w:ascii="Verdana" w:hAnsi="Verdana"/>
          <w:sz w:val="20"/>
        </w:rPr>
        <w:t>müssen</w:t>
      </w:r>
      <w:r w:rsidRPr="00277FE6">
        <w:rPr>
          <w:rFonts w:ascii="Verdana" w:hAnsi="Verdana"/>
          <w:sz w:val="20"/>
        </w:rPr>
        <w:t xml:space="preserve"> sich auf geltendes gesetzliches Regelwerk, wie die EBV, stützen.</w:t>
      </w:r>
    </w:p>
    <w:p w14:paraId="708929F3" w14:textId="77777777" w:rsidR="00C867D3" w:rsidRDefault="00C867D3" w:rsidP="00B41087">
      <w:pPr>
        <w:spacing w:after="120"/>
        <w:rPr>
          <w:rFonts w:ascii="Verdana" w:hAnsi="Verdana"/>
          <w:sz w:val="20"/>
        </w:rPr>
      </w:pPr>
    </w:p>
    <w:p w14:paraId="492371FC" w14:textId="0B8E57F7" w:rsidR="000E24CF" w:rsidRPr="003E6641" w:rsidRDefault="003E6641" w:rsidP="00906C18">
      <w:pPr>
        <w:pStyle w:val="berschrift1"/>
        <w:ind w:left="0"/>
        <w:rPr>
          <w:b w:val="0"/>
          <w:sz w:val="24"/>
          <w:szCs w:val="24"/>
        </w:rPr>
      </w:pPr>
      <w:r w:rsidRPr="003E6641">
        <w:rPr>
          <w:sz w:val="24"/>
          <w:szCs w:val="24"/>
        </w:rPr>
        <w:t>Fazit</w:t>
      </w:r>
    </w:p>
    <w:p w14:paraId="406508E6" w14:textId="5FDF9D35" w:rsidR="00731D34" w:rsidRDefault="007975D8" w:rsidP="00951DEA">
      <w:pPr>
        <w:spacing w:after="120"/>
        <w:rPr>
          <w:rFonts w:ascii="Verdana" w:hAnsi="Verdana"/>
          <w:sz w:val="20"/>
        </w:rPr>
      </w:pPr>
      <w:r w:rsidRPr="007975D8">
        <w:rPr>
          <w:rFonts w:ascii="Verdana" w:hAnsi="Verdana"/>
          <w:sz w:val="20"/>
        </w:rPr>
        <w:t xml:space="preserve">Angesichts der dringenden Herausforderungen im Bereich Ressourcenschonung und Umweltschutz, sowie der </w:t>
      </w:r>
      <w:r w:rsidR="005F6076">
        <w:rPr>
          <w:rFonts w:ascii="Verdana" w:hAnsi="Verdana"/>
          <w:sz w:val="20"/>
        </w:rPr>
        <w:t>stattfindenden</w:t>
      </w:r>
      <w:r w:rsidRPr="007975D8">
        <w:rPr>
          <w:rFonts w:ascii="Verdana" w:hAnsi="Verdana"/>
          <w:sz w:val="20"/>
        </w:rPr>
        <w:t xml:space="preserve"> Transformation der </w:t>
      </w:r>
      <w:r w:rsidR="0027026A">
        <w:rPr>
          <w:rFonts w:ascii="Verdana" w:hAnsi="Verdana"/>
          <w:sz w:val="20"/>
        </w:rPr>
        <w:t>I</w:t>
      </w:r>
      <w:r w:rsidR="0027026A" w:rsidRPr="007975D8">
        <w:rPr>
          <w:rFonts w:ascii="Verdana" w:hAnsi="Verdana"/>
          <w:sz w:val="20"/>
        </w:rPr>
        <w:t xml:space="preserve">ndustrie </w:t>
      </w:r>
      <w:r w:rsidRPr="007975D8">
        <w:rPr>
          <w:rFonts w:ascii="Verdana" w:hAnsi="Verdana"/>
          <w:sz w:val="20"/>
        </w:rPr>
        <w:t>hin zu einer CO₂-freien Produktion, besteht akuter Handlungsbedarf, um das volle Potenzial der Kreislaufwirtschaft im Bauwesen auszuschöpfen. Die aktuellen Regelungen zur Verwendung von Sekundärrohstoffen im Bauproduktebereich</w:t>
      </w:r>
      <w:r w:rsidR="0027026A">
        <w:rPr>
          <w:rFonts w:ascii="Verdana" w:hAnsi="Verdana"/>
          <w:sz w:val="20"/>
        </w:rPr>
        <w:t xml:space="preserve"> sind veraltet,</w:t>
      </w:r>
      <w:r w:rsidRPr="007975D8">
        <w:rPr>
          <w:rFonts w:ascii="Verdana" w:hAnsi="Verdana"/>
          <w:sz w:val="20"/>
        </w:rPr>
        <w:t xml:space="preserve"> schaffen unnötige Hemmnisse und schließen bestimmte Materialien aus, </w:t>
      </w:r>
      <w:r w:rsidR="00FA4CFC">
        <w:rPr>
          <w:rFonts w:ascii="Verdana" w:hAnsi="Verdana"/>
          <w:sz w:val="20"/>
        </w:rPr>
        <w:t>auch wenn nachweislich keine Gefahren für Mensch und Umwelt bestehen.</w:t>
      </w:r>
      <w:r w:rsidRPr="007975D8">
        <w:rPr>
          <w:rFonts w:ascii="Verdana" w:hAnsi="Verdana"/>
          <w:sz w:val="20"/>
        </w:rPr>
        <w:t xml:space="preserve"> Deshalb ist es unerlässlich, die Anforderungen in den relevanten Regelwerken anzupassen, um den Einsatz von Sekundärrohstoffen im Sinne des Kreislaufwirtschaftsgesetzes zu ermöglichen. Im Fokus </w:t>
      </w:r>
      <w:r w:rsidR="0027026A">
        <w:rPr>
          <w:rFonts w:ascii="Verdana" w:hAnsi="Verdana"/>
          <w:sz w:val="20"/>
        </w:rPr>
        <w:t>darf</w:t>
      </w:r>
      <w:r w:rsidR="0027026A" w:rsidRPr="007975D8">
        <w:rPr>
          <w:rFonts w:ascii="Verdana" w:hAnsi="Verdana"/>
          <w:sz w:val="20"/>
        </w:rPr>
        <w:t xml:space="preserve"> </w:t>
      </w:r>
      <w:r w:rsidRPr="007975D8">
        <w:rPr>
          <w:rFonts w:ascii="Verdana" w:hAnsi="Verdana"/>
          <w:sz w:val="20"/>
        </w:rPr>
        <w:t>dabei nicht die Bewertung der Ausgangsstoffe stehen, sondern das fertige Bauprodukt.</w:t>
      </w:r>
    </w:p>
    <w:p w14:paraId="7998E1C9" w14:textId="77777777" w:rsidR="007975D8" w:rsidRDefault="007975D8" w:rsidP="00951DEA">
      <w:pPr>
        <w:spacing w:after="120"/>
        <w:rPr>
          <w:rFonts w:ascii="Verdana" w:hAnsi="Verdana"/>
          <w:sz w:val="20"/>
        </w:rPr>
      </w:pPr>
    </w:p>
    <w:p w14:paraId="39C5F7F5" w14:textId="77777777" w:rsidR="000E24CF" w:rsidRDefault="000E24CF" w:rsidP="00951DEA">
      <w:pPr>
        <w:spacing w:after="120"/>
        <w:rPr>
          <w:rFonts w:ascii="Verdana" w:hAnsi="Verdana"/>
          <w:sz w:val="20"/>
        </w:rPr>
      </w:pPr>
    </w:p>
    <w:p w14:paraId="48EECE15" w14:textId="77777777" w:rsidR="005452E9" w:rsidRDefault="005452E9" w:rsidP="00951DEA">
      <w:pPr>
        <w:spacing w:after="120"/>
        <w:rPr>
          <w:rFonts w:ascii="Verdana" w:hAnsi="Verdana"/>
          <w:sz w:val="20"/>
        </w:rPr>
      </w:pPr>
    </w:p>
    <w:p w14:paraId="14A01FC9" w14:textId="77777777" w:rsidR="005452E9" w:rsidRDefault="005452E9" w:rsidP="00951DEA">
      <w:pPr>
        <w:spacing w:after="120"/>
        <w:rPr>
          <w:rFonts w:ascii="Verdana" w:hAnsi="Verdana"/>
          <w:sz w:val="20"/>
        </w:rPr>
      </w:pPr>
    </w:p>
    <w:p w14:paraId="5E363DA7" w14:textId="77777777" w:rsidR="005452E9" w:rsidRDefault="005452E9" w:rsidP="00951DEA">
      <w:pPr>
        <w:spacing w:after="120"/>
        <w:rPr>
          <w:rFonts w:ascii="Verdana" w:hAnsi="Verdana"/>
          <w:sz w:val="20"/>
        </w:rPr>
      </w:pPr>
    </w:p>
    <w:p w14:paraId="66BB7747" w14:textId="7A91EB71" w:rsidR="00C70FAA" w:rsidRPr="00931CE0" w:rsidRDefault="00B757C1" w:rsidP="00951DEA">
      <w:pPr>
        <w:spacing w:after="120"/>
        <w:rPr>
          <w:rFonts w:ascii="Verdana" w:hAnsi="Verdana"/>
          <w:b/>
          <w:bCs/>
          <w:sz w:val="24"/>
          <w:szCs w:val="24"/>
        </w:rPr>
      </w:pPr>
      <w:r w:rsidRPr="00931CE0">
        <w:rPr>
          <w:rFonts w:ascii="Verdana" w:hAnsi="Verdana"/>
          <w:b/>
          <w:bCs/>
          <w:sz w:val="24"/>
          <w:szCs w:val="24"/>
        </w:rPr>
        <w:lastRenderedPageBreak/>
        <w:t>Literatur</w:t>
      </w:r>
    </w:p>
    <w:sectPr w:rsidR="00C70FAA" w:rsidRPr="00931CE0" w:rsidSect="0001142A">
      <w:headerReference w:type="default" r:id="rId11"/>
      <w:footerReference w:type="default" r:id="rId12"/>
      <w:headerReference w:type="first" r:id="rId13"/>
      <w:footerReference w:type="first" r:id="rId14"/>
      <w:endnotePr>
        <w:numFmt w:val="decimal"/>
      </w:endnotePr>
      <w:type w:val="continuous"/>
      <w:pgSz w:w="11907" w:h="16840" w:code="9"/>
      <w:pgMar w:top="1134" w:right="1418" w:bottom="907" w:left="1418" w:header="1871" w:footer="0" w:gutter="0"/>
      <w:paperSrc w:first="7" w:other="7"/>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ABFE0" w14:textId="77777777" w:rsidR="0074228C" w:rsidRPr="0025530A" w:rsidRDefault="0074228C">
      <w:pPr>
        <w:spacing w:after="0" w:line="240" w:lineRule="auto"/>
        <w:rPr>
          <w:sz w:val="2"/>
          <w:szCs w:val="2"/>
        </w:rPr>
      </w:pPr>
    </w:p>
  </w:endnote>
  <w:endnote w:type="continuationSeparator" w:id="0">
    <w:p w14:paraId="0D7F5FE9" w14:textId="77777777" w:rsidR="0074228C" w:rsidRPr="0025530A" w:rsidRDefault="0074228C">
      <w:pPr>
        <w:spacing w:after="0" w:line="240" w:lineRule="auto"/>
        <w:rPr>
          <w:sz w:val="2"/>
          <w:szCs w:val="2"/>
        </w:rPr>
      </w:pPr>
    </w:p>
  </w:endnote>
  <w:endnote w:type="continuationNotice" w:id="1">
    <w:p w14:paraId="0EC8A184" w14:textId="77777777" w:rsidR="0074228C" w:rsidRPr="0025530A" w:rsidRDefault="0074228C">
      <w:pPr>
        <w:spacing w:after="0" w:line="240" w:lineRule="auto"/>
        <w:rPr>
          <w:sz w:val="2"/>
          <w:szCs w:val="2"/>
        </w:rPr>
      </w:pPr>
    </w:p>
  </w:endnote>
  <w:endnote w:id="2">
    <w:p w14:paraId="3D8ED5CD" w14:textId="63FB0A98" w:rsidR="0031744C" w:rsidRPr="00A87B87" w:rsidRDefault="0031744C">
      <w:pPr>
        <w:pStyle w:val="Endnotentext"/>
        <w:rPr>
          <w:rFonts w:ascii="Verdana" w:hAnsi="Verdana"/>
          <w:sz w:val="20"/>
        </w:rPr>
      </w:pPr>
      <w:r>
        <w:t>[</w:t>
      </w:r>
      <w:r>
        <w:rPr>
          <w:rStyle w:val="Endnotenzeichen"/>
        </w:rPr>
        <w:endnoteRef/>
      </w:r>
      <w:r>
        <w:t xml:space="preserve">] </w:t>
      </w:r>
      <w:r>
        <w:tab/>
      </w:r>
      <w:r w:rsidR="0082030E" w:rsidRPr="00A87B87">
        <w:rPr>
          <w:rFonts w:ascii="Verdana" w:hAnsi="Verdana" w:cs="Arial"/>
          <w:sz w:val="20"/>
        </w:rPr>
        <w:t>Ersatzbaustoffverordnung vom 9. Juli 2021 (BGBl. I S. 2598), zuletzt geändert durch Artikel 1 der Verordnung vom 13. Juli 2023 (BGBl. Nr. 186)</w:t>
      </w:r>
    </w:p>
  </w:endnote>
  <w:endnote w:id="3">
    <w:p w14:paraId="39F95A7E" w14:textId="6F6CC0A8" w:rsidR="002F062A" w:rsidRPr="00A87B87" w:rsidRDefault="00E57377">
      <w:pPr>
        <w:pStyle w:val="Endnotentext"/>
        <w:rPr>
          <w:rFonts w:ascii="Verdana" w:hAnsi="Verdana"/>
          <w:sz w:val="20"/>
        </w:rPr>
      </w:pPr>
      <w:r w:rsidRPr="00A87B87">
        <w:rPr>
          <w:rFonts w:ascii="Verdana" w:hAnsi="Verdana"/>
          <w:sz w:val="20"/>
        </w:rPr>
        <w:t>[</w:t>
      </w:r>
      <w:r w:rsidR="002F062A" w:rsidRPr="00A87B87">
        <w:rPr>
          <w:rStyle w:val="Endnotenzeichen"/>
          <w:rFonts w:ascii="Verdana" w:hAnsi="Verdana"/>
          <w:sz w:val="20"/>
        </w:rPr>
        <w:endnoteRef/>
      </w:r>
      <w:r w:rsidRPr="00A87B87">
        <w:rPr>
          <w:rFonts w:ascii="Verdana" w:hAnsi="Verdana"/>
          <w:sz w:val="20"/>
        </w:rPr>
        <w:t>]</w:t>
      </w:r>
      <w:r w:rsidR="002F062A" w:rsidRPr="00A87B87">
        <w:rPr>
          <w:rFonts w:ascii="Verdana" w:hAnsi="Verdana"/>
          <w:sz w:val="20"/>
        </w:rPr>
        <w:t xml:space="preserve"> </w:t>
      </w:r>
      <w:r w:rsidRPr="00A87B87">
        <w:rPr>
          <w:rFonts w:ascii="Verdana" w:hAnsi="Verdana"/>
          <w:sz w:val="20"/>
        </w:rPr>
        <w:tab/>
        <w:t>Umweltbundesamt, „Weiterentwicklung von Kriterien zur Beurteilung des schadlosen und ordnungsgemäßen Einsatzes mineralischer Ersatzbaustoffe und Prüfung alternativer Wertevorschläge“, UBA-Texte 26/2018, März 2018, abrufbar unter: https://www.umweltbundesamt.de/sites/default/files/medien/1410/publikationen/2018-03-27_texte_26-2018_mineralische-ersatzbaustoffe.pdf.</w:t>
      </w:r>
    </w:p>
  </w:endnote>
  <w:endnote w:id="4">
    <w:p w14:paraId="266DDD60" w14:textId="3DFFBDC6" w:rsidR="0031744C" w:rsidRPr="00A87B87" w:rsidRDefault="00F26104">
      <w:pPr>
        <w:pStyle w:val="Endnotentext"/>
        <w:rPr>
          <w:rFonts w:ascii="Verdana" w:hAnsi="Verdana"/>
          <w:sz w:val="20"/>
        </w:rPr>
      </w:pPr>
      <w:r w:rsidRPr="00A87B87">
        <w:rPr>
          <w:rFonts w:ascii="Verdana" w:hAnsi="Verdana"/>
          <w:sz w:val="20"/>
        </w:rPr>
        <w:t>[</w:t>
      </w:r>
      <w:r w:rsidR="0031744C" w:rsidRPr="00A87B87">
        <w:rPr>
          <w:rStyle w:val="Endnotenzeichen"/>
          <w:rFonts w:ascii="Verdana" w:hAnsi="Verdana"/>
          <w:sz w:val="20"/>
        </w:rPr>
        <w:endnoteRef/>
      </w:r>
      <w:r w:rsidRPr="00A87B87">
        <w:rPr>
          <w:rFonts w:ascii="Verdana" w:hAnsi="Verdana"/>
          <w:sz w:val="20"/>
        </w:rPr>
        <w:t>]</w:t>
      </w:r>
      <w:r w:rsidR="0031744C" w:rsidRPr="00A87B87">
        <w:rPr>
          <w:rFonts w:ascii="Verdana" w:hAnsi="Verdana"/>
          <w:sz w:val="20"/>
        </w:rPr>
        <w:t xml:space="preserve"> </w:t>
      </w:r>
      <w:r w:rsidR="0031744C" w:rsidRPr="00A87B87">
        <w:rPr>
          <w:rFonts w:ascii="Verdana" w:hAnsi="Verdana"/>
          <w:sz w:val="20"/>
        </w:rPr>
        <w:tab/>
      </w:r>
      <w:r w:rsidRPr="00A87B87">
        <w:rPr>
          <w:rFonts w:ascii="Verdana" w:hAnsi="Verdana"/>
          <w:sz w:val="20"/>
        </w:rPr>
        <w:t>Deutsches Institut für Bautechnik DIBt: Muster-Verwaltungsvorschrift Technische Baubestimmungen (MVV TB) 202</w:t>
      </w:r>
      <w:r w:rsidR="00B757C1" w:rsidRPr="00A87B87">
        <w:rPr>
          <w:rFonts w:ascii="Verdana" w:hAnsi="Verdana"/>
          <w:sz w:val="20"/>
        </w:rPr>
        <w:t>4</w:t>
      </w:r>
      <w:r w:rsidRPr="00A87B87">
        <w:rPr>
          <w:rFonts w:ascii="Verdana" w:hAnsi="Verdana"/>
          <w:sz w:val="20"/>
        </w:rPr>
        <w:t xml:space="preserve">/1, </w:t>
      </w:r>
      <w:r w:rsidR="00B757C1" w:rsidRPr="00A87B87">
        <w:rPr>
          <w:rFonts w:ascii="Verdana" w:hAnsi="Verdana"/>
          <w:sz w:val="20"/>
        </w:rPr>
        <w:t>28</w:t>
      </w:r>
      <w:r w:rsidRPr="00A87B87">
        <w:rPr>
          <w:rFonts w:ascii="Verdana" w:hAnsi="Verdana"/>
          <w:sz w:val="20"/>
        </w:rPr>
        <w:t>.0</w:t>
      </w:r>
      <w:r w:rsidR="00B757C1" w:rsidRPr="00A87B87">
        <w:rPr>
          <w:rFonts w:ascii="Verdana" w:hAnsi="Verdana"/>
          <w:sz w:val="20"/>
        </w:rPr>
        <w:t>8</w:t>
      </w:r>
      <w:r w:rsidRPr="00A87B87">
        <w:rPr>
          <w:rFonts w:ascii="Verdana" w:hAnsi="Verdana"/>
          <w:sz w:val="20"/>
        </w:rPr>
        <w:t>.202</w:t>
      </w:r>
      <w:r w:rsidR="00B757C1" w:rsidRPr="00A87B87">
        <w:rPr>
          <w:rFonts w:ascii="Verdana" w:hAnsi="Verdana"/>
          <w:sz w:val="20"/>
        </w:rPr>
        <w:t>4</w:t>
      </w:r>
    </w:p>
  </w:endnote>
  <w:endnote w:id="5">
    <w:p w14:paraId="36354BAA" w14:textId="717014F0" w:rsidR="00032120" w:rsidRPr="00A87B87" w:rsidRDefault="00626641" w:rsidP="00626641">
      <w:pPr>
        <w:pStyle w:val="Endnotentext"/>
        <w:rPr>
          <w:rFonts w:ascii="Verdana" w:hAnsi="Verdana"/>
          <w:sz w:val="20"/>
        </w:rPr>
      </w:pPr>
      <w:r w:rsidRPr="00A87B87">
        <w:rPr>
          <w:rFonts w:ascii="Verdana" w:hAnsi="Verdana"/>
          <w:sz w:val="20"/>
        </w:rPr>
        <w:t>[</w:t>
      </w:r>
      <w:r w:rsidR="00032120" w:rsidRPr="00A87B87">
        <w:rPr>
          <w:rStyle w:val="Endnotenzeichen"/>
          <w:rFonts w:ascii="Verdana" w:hAnsi="Verdana"/>
          <w:sz w:val="20"/>
        </w:rPr>
        <w:endnoteRef/>
      </w:r>
      <w:r w:rsidRPr="00A87B87">
        <w:rPr>
          <w:rFonts w:ascii="Verdana" w:hAnsi="Verdana"/>
          <w:sz w:val="20"/>
        </w:rPr>
        <w:t>]</w:t>
      </w:r>
      <w:r w:rsidR="00032120" w:rsidRPr="00A87B87">
        <w:rPr>
          <w:rFonts w:ascii="Verdana" w:hAnsi="Verdana"/>
          <w:sz w:val="20"/>
        </w:rPr>
        <w:t xml:space="preserve"> </w:t>
      </w:r>
      <w:r w:rsidRPr="00A87B87">
        <w:rPr>
          <w:rFonts w:ascii="Verdana" w:hAnsi="Verdana"/>
          <w:sz w:val="20"/>
        </w:rPr>
        <w:tab/>
        <w:t xml:space="preserve">Nationale Kreislaufwirtschaftsstrategie, Entwurf, 17.06.2024, Ziffer 4.8.4, Seite 90 </w:t>
      </w:r>
    </w:p>
  </w:endnote>
  <w:endnote w:id="6">
    <w:p w14:paraId="3C114166" w14:textId="75D17AD0" w:rsidR="0047443A" w:rsidRPr="00A87B87" w:rsidRDefault="0086547A">
      <w:pPr>
        <w:pStyle w:val="Endnotentext"/>
        <w:rPr>
          <w:rFonts w:ascii="Verdana" w:hAnsi="Verdana"/>
          <w:sz w:val="20"/>
        </w:rPr>
      </w:pPr>
      <w:r w:rsidRPr="00A87B87">
        <w:rPr>
          <w:rFonts w:ascii="Verdana" w:hAnsi="Verdana"/>
          <w:sz w:val="20"/>
        </w:rPr>
        <w:t>[</w:t>
      </w:r>
      <w:r w:rsidR="0047443A" w:rsidRPr="00A87B87">
        <w:rPr>
          <w:rStyle w:val="Endnotenzeichen"/>
          <w:rFonts w:ascii="Verdana" w:hAnsi="Verdana"/>
          <w:sz w:val="20"/>
        </w:rPr>
        <w:endnoteRef/>
      </w:r>
      <w:r w:rsidRPr="00A87B87">
        <w:rPr>
          <w:rFonts w:ascii="Verdana" w:hAnsi="Verdana"/>
          <w:sz w:val="20"/>
        </w:rPr>
        <w:t>]</w:t>
      </w:r>
      <w:r w:rsidR="0047443A" w:rsidRPr="00A87B87">
        <w:rPr>
          <w:rFonts w:ascii="Verdana" w:hAnsi="Verdana"/>
          <w:sz w:val="20"/>
        </w:rPr>
        <w:t xml:space="preserve"> </w:t>
      </w:r>
      <w:r w:rsidR="0047443A" w:rsidRPr="00A87B87">
        <w:rPr>
          <w:rFonts w:ascii="Verdana" w:hAnsi="Verdana"/>
          <w:sz w:val="20"/>
        </w:rPr>
        <w:tab/>
      </w:r>
      <w:r w:rsidR="0082030E" w:rsidRPr="00A87B87">
        <w:rPr>
          <w:rFonts w:ascii="Verdana" w:hAnsi="Verdana"/>
          <w:sz w:val="20"/>
        </w:rPr>
        <w:t>Bund/</w:t>
      </w:r>
      <w:r w:rsidRPr="00A87B87">
        <w:rPr>
          <w:rFonts w:ascii="Verdana" w:hAnsi="Verdana"/>
          <w:sz w:val="20"/>
        </w:rPr>
        <w:t>Länder</w:t>
      </w:r>
      <w:r w:rsidR="0082030E" w:rsidRPr="00A87B87">
        <w:rPr>
          <w:rFonts w:ascii="Verdana" w:hAnsi="Verdana"/>
          <w:sz w:val="20"/>
        </w:rPr>
        <w:t>-A</w:t>
      </w:r>
      <w:r w:rsidRPr="00A87B87">
        <w:rPr>
          <w:rFonts w:ascii="Verdana" w:hAnsi="Verdana"/>
          <w:sz w:val="20"/>
        </w:rPr>
        <w:t>rbeitsgemeinschaft Abfall: Mitteilung 20 – Anforderungen an die stoffliche Verwertung von mineralischen Reststoffen/Abfällen – Technische Regeln, Stand 6. November 2003</w:t>
      </w:r>
    </w:p>
  </w:endnote>
  <w:endnote w:id="7">
    <w:p w14:paraId="70741AAA" w14:textId="0061754D" w:rsidR="009C4408" w:rsidRPr="006F5CBA" w:rsidRDefault="009C4408" w:rsidP="006F5CBA">
      <w:pPr>
        <w:pStyle w:val="Endnotentext"/>
        <w:rPr>
          <w:rFonts w:ascii="Verdana" w:hAnsi="Verdana"/>
          <w:sz w:val="20"/>
        </w:rPr>
      </w:pPr>
      <w:r w:rsidRPr="00A87B87">
        <w:rPr>
          <w:rFonts w:ascii="Verdana" w:hAnsi="Verdana"/>
          <w:sz w:val="20"/>
        </w:rPr>
        <w:t>[</w:t>
      </w:r>
      <w:r w:rsidRPr="00A87B87">
        <w:rPr>
          <w:rStyle w:val="Endnotenzeichen"/>
          <w:rFonts w:ascii="Verdana" w:hAnsi="Verdana"/>
          <w:sz w:val="20"/>
        </w:rPr>
        <w:endnoteRef/>
      </w:r>
      <w:r w:rsidRPr="00A87B87">
        <w:rPr>
          <w:rFonts w:ascii="Verdana" w:hAnsi="Verdana"/>
          <w:sz w:val="20"/>
        </w:rPr>
        <w:t xml:space="preserve">] </w:t>
      </w:r>
      <w:r w:rsidRPr="00A87B87">
        <w:rPr>
          <w:rFonts w:ascii="Verdana" w:hAnsi="Verdana"/>
          <w:sz w:val="20"/>
        </w:rPr>
        <w:tab/>
      </w:r>
      <w:r w:rsidR="0082030E" w:rsidRPr="00A87B87">
        <w:rPr>
          <w:rFonts w:ascii="Verdana" w:hAnsi="Verdana"/>
          <w:sz w:val="20"/>
        </w:rPr>
        <w:t>Bund/Länder-Arbeitsgemeinschaft Abfall</w:t>
      </w:r>
      <w:r w:rsidRPr="00A87B87">
        <w:rPr>
          <w:rFonts w:ascii="Verdana" w:eastAsia="Verdana" w:hAnsi="Verdana"/>
          <w:sz w:val="20"/>
        </w:rPr>
        <w:t xml:space="preserve">: Anforderungen an die stoffliche Verwertung von mineralischen Abfällen - Teil II: Technische Regeln für die </w:t>
      </w:r>
      <w:r w:rsidRPr="006F5CBA">
        <w:rPr>
          <w:rFonts w:ascii="Verdana" w:hAnsi="Verdana"/>
          <w:sz w:val="20"/>
        </w:rPr>
        <w:t>Verwertung 1.2 Bodenmaterial (</w:t>
      </w:r>
      <w:r w:rsidRPr="006F5CBA">
        <w:rPr>
          <w:rFonts w:ascii="Verdana" w:hAnsi="Verdana"/>
          <w:sz w:val="20"/>
        </w:rPr>
        <w:t>TR Boden), Stand: 05.11.2004</w:t>
      </w:r>
    </w:p>
  </w:endnote>
  <w:endnote w:id="8">
    <w:p w14:paraId="30AAEF08" w14:textId="74B1EEB9" w:rsidR="00443F7D" w:rsidRPr="006F5CBA" w:rsidRDefault="00443F7D" w:rsidP="006F5CBA">
      <w:pPr>
        <w:pStyle w:val="Endnotentext"/>
        <w:rPr>
          <w:rFonts w:ascii="Verdana" w:hAnsi="Verdana"/>
          <w:b/>
          <w:sz w:val="20"/>
        </w:rPr>
      </w:pPr>
      <w:r w:rsidRPr="006F5CBA">
        <w:rPr>
          <w:rFonts w:ascii="Verdana" w:hAnsi="Verdana"/>
          <w:sz w:val="20"/>
        </w:rPr>
        <w:t>[</w:t>
      </w:r>
      <w:r w:rsidRPr="006F5CBA">
        <w:rPr>
          <w:rFonts w:ascii="Verdana" w:hAnsi="Verdana"/>
          <w:sz w:val="20"/>
        </w:rPr>
        <w:endnoteRef/>
      </w:r>
      <w:r w:rsidRPr="006F5CBA">
        <w:rPr>
          <w:rFonts w:ascii="Verdana" w:hAnsi="Verdana"/>
          <w:sz w:val="20"/>
        </w:rPr>
        <w:t xml:space="preserve">] </w:t>
      </w:r>
      <w:r w:rsidRPr="006F5CBA">
        <w:rPr>
          <w:rFonts w:ascii="Verdana" w:hAnsi="Verdana"/>
          <w:sz w:val="20"/>
        </w:rPr>
        <w:tab/>
      </w:r>
      <w:r w:rsidR="00C2173A" w:rsidRPr="006F5CBA">
        <w:rPr>
          <w:rFonts w:ascii="Verdana" w:hAnsi="Verdana"/>
          <w:sz w:val="20"/>
        </w:rPr>
        <w:t>Musterbauordnung (MBO)</w:t>
      </w:r>
      <w:r w:rsidR="00807C29" w:rsidRPr="006F5CBA">
        <w:rPr>
          <w:rFonts w:ascii="Verdana" w:hAnsi="Verdana"/>
          <w:sz w:val="20"/>
        </w:rPr>
        <w:t xml:space="preserve"> 2002, zuletzt</w:t>
      </w:r>
      <w:r w:rsidR="00EC7681">
        <w:rPr>
          <w:rFonts w:ascii="Verdana" w:hAnsi="Verdana"/>
          <w:sz w:val="20"/>
        </w:rPr>
        <w:t xml:space="preserve"> </w:t>
      </w:r>
      <w:r w:rsidR="00807C29" w:rsidRPr="006F5CBA">
        <w:rPr>
          <w:rFonts w:ascii="Verdana" w:hAnsi="Verdana"/>
          <w:sz w:val="20"/>
        </w:rPr>
        <w:t>geändert durch Beschluss der</w:t>
      </w:r>
      <w:r w:rsidR="006F5CBA" w:rsidRPr="006F5CBA">
        <w:rPr>
          <w:rFonts w:ascii="Verdana" w:hAnsi="Verdana"/>
          <w:sz w:val="20"/>
        </w:rPr>
        <w:t xml:space="preserve"> </w:t>
      </w:r>
      <w:r w:rsidR="00807C29" w:rsidRPr="006F5CBA">
        <w:rPr>
          <w:rFonts w:ascii="Verdana" w:hAnsi="Verdana"/>
          <w:sz w:val="20"/>
        </w:rPr>
        <w:t>Bauministerkonferenz von 23./24. November 202</w:t>
      </w:r>
      <w:r w:rsidR="005C0859" w:rsidRPr="006F5CBA">
        <w:rPr>
          <w:rFonts w:ascii="Verdana" w:hAnsi="Verdana"/>
          <w:sz w:val="20"/>
        </w:rPr>
        <w:t>3</w:t>
      </w:r>
    </w:p>
  </w:endnote>
  <w:endnote w:id="9">
    <w:p w14:paraId="060FE68D" w14:textId="0FD55DE2" w:rsidR="00CD10ED" w:rsidRPr="00A87B87" w:rsidRDefault="006C176F">
      <w:pPr>
        <w:pStyle w:val="Endnotentext"/>
        <w:rPr>
          <w:rFonts w:ascii="Verdana" w:hAnsi="Verdana"/>
          <w:sz w:val="20"/>
        </w:rPr>
      </w:pPr>
      <w:r>
        <w:rPr>
          <w:rFonts w:ascii="Verdana" w:hAnsi="Verdana"/>
          <w:sz w:val="20"/>
        </w:rPr>
        <w:t>[</w:t>
      </w:r>
      <w:r w:rsidR="00CD10ED" w:rsidRPr="00A87B87">
        <w:rPr>
          <w:rStyle w:val="Endnotenzeichen"/>
          <w:rFonts w:ascii="Verdana" w:hAnsi="Verdana"/>
          <w:sz w:val="20"/>
        </w:rPr>
        <w:endnoteRef/>
      </w:r>
      <w:r>
        <w:rPr>
          <w:rFonts w:ascii="Verdana" w:hAnsi="Verdana"/>
          <w:sz w:val="20"/>
        </w:rPr>
        <w:t>]</w:t>
      </w:r>
      <w:r w:rsidR="00CD10ED" w:rsidRPr="00A87B87">
        <w:rPr>
          <w:rFonts w:ascii="Verdana" w:hAnsi="Verdana"/>
          <w:sz w:val="20"/>
        </w:rPr>
        <w:t xml:space="preserve"> </w:t>
      </w:r>
      <w:r w:rsidR="00553EE1" w:rsidRPr="00A87B87">
        <w:rPr>
          <w:rFonts w:ascii="Verdana" w:hAnsi="Verdana"/>
          <w:sz w:val="20"/>
        </w:rPr>
        <w:tab/>
        <w:t xml:space="preserve">VGH Baden-Württemberg, Urt. v. 07.10.2020 – 8 S 2959/18, </w:t>
      </w:r>
      <w:r w:rsidR="00553EE1" w:rsidRPr="00A87B87">
        <w:rPr>
          <w:rFonts w:ascii="Verdana" w:hAnsi="Verdana"/>
          <w:sz w:val="20"/>
        </w:rPr>
        <w:t>juris, Rn. 46 ff.</w:t>
      </w:r>
    </w:p>
  </w:endnote>
  <w:endnote w:id="10">
    <w:p w14:paraId="452A988C" w14:textId="3F3249DD" w:rsidR="00117F01" w:rsidRPr="00A87B87" w:rsidRDefault="006C176F">
      <w:pPr>
        <w:pStyle w:val="Endnotentext"/>
        <w:rPr>
          <w:rFonts w:ascii="Verdana" w:hAnsi="Verdana"/>
          <w:sz w:val="20"/>
        </w:rPr>
      </w:pPr>
      <w:r>
        <w:rPr>
          <w:rFonts w:ascii="Verdana" w:hAnsi="Verdana"/>
          <w:sz w:val="20"/>
        </w:rPr>
        <w:t>[</w:t>
      </w:r>
      <w:r w:rsidR="00117F01" w:rsidRPr="00A87B87">
        <w:rPr>
          <w:rStyle w:val="Endnotenzeichen"/>
          <w:rFonts w:ascii="Verdana" w:hAnsi="Verdana"/>
          <w:sz w:val="20"/>
        </w:rPr>
        <w:endnoteRef/>
      </w:r>
      <w:r>
        <w:rPr>
          <w:rFonts w:ascii="Verdana" w:hAnsi="Verdana"/>
          <w:sz w:val="20"/>
        </w:rPr>
        <w:t>]</w:t>
      </w:r>
      <w:r w:rsidR="00117F01" w:rsidRPr="00A87B87">
        <w:rPr>
          <w:rFonts w:ascii="Verdana" w:hAnsi="Verdana"/>
          <w:sz w:val="20"/>
        </w:rPr>
        <w:t xml:space="preserve"> </w:t>
      </w:r>
      <w:r w:rsidR="00117F01" w:rsidRPr="00A87B87">
        <w:rPr>
          <w:rFonts w:ascii="Verdana" w:hAnsi="Verdana"/>
          <w:sz w:val="20"/>
        </w:rPr>
        <w:tab/>
        <w:t xml:space="preserve">VGH Baden-Württemberg, Urt. v. 07.10.2020 – 8 S 2959/18, </w:t>
      </w:r>
      <w:r w:rsidR="00117F01" w:rsidRPr="00A87B87">
        <w:rPr>
          <w:rFonts w:ascii="Verdana" w:hAnsi="Verdana"/>
          <w:sz w:val="20"/>
        </w:rPr>
        <w:t xml:space="preserve">juris, Rn. </w:t>
      </w:r>
      <w:r w:rsidR="00117F01" w:rsidRPr="00A87B87">
        <w:rPr>
          <w:rFonts w:ascii="Verdana" w:hAnsi="Verdana"/>
          <w:sz w:val="20"/>
        </w:rPr>
        <w:t>59 ; VGH Bayern, Urt. v. 2 – N 21.2173.</w:t>
      </w:r>
    </w:p>
  </w:endnote>
  <w:endnote w:id="11">
    <w:p w14:paraId="46A0E13B" w14:textId="03A17E8B" w:rsidR="001A3E5E" w:rsidRPr="00A87B87" w:rsidRDefault="006C176F">
      <w:pPr>
        <w:pStyle w:val="Endnotentext"/>
        <w:rPr>
          <w:rFonts w:ascii="Verdana" w:hAnsi="Verdana"/>
          <w:sz w:val="20"/>
        </w:rPr>
      </w:pPr>
      <w:r>
        <w:rPr>
          <w:rFonts w:ascii="Verdana" w:hAnsi="Verdana"/>
          <w:sz w:val="20"/>
        </w:rPr>
        <w:t>[</w:t>
      </w:r>
      <w:r w:rsidR="001A3E5E" w:rsidRPr="00A87B87">
        <w:rPr>
          <w:rStyle w:val="Endnotenzeichen"/>
          <w:rFonts w:ascii="Verdana" w:hAnsi="Verdana"/>
          <w:sz w:val="20"/>
        </w:rPr>
        <w:endnoteRef/>
      </w:r>
      <w:r>
        <w:rPr>
          <w:rFonts w:ascii="Verdana" w:hAnsi="Verdana"/>
          <w:sz w:val="20"/>
        </w:rPr>
        <w:t>]</w:t>
      </w:r>
      <w:r w:rsidR="001A3E5E" w:rsidRPr="00A87B87">
        <w:rPr>
          <w:rFonts w:ascii="Verdana" w:hAnsi="Verdana"/>
          <w:sz w:val="20"/>
        </w:rPr>
        <w:t xml:space="preserve"> </w:t>
      </w:r>
      <w:r w:rsidR="001A3E5E" w:rsidRPr="00A87B87">
        <w:rPr>
          <w:rFonts w:ascii="Verdana" w:hAnsi="Verdana"/>
          <w:sz w:val="20"/>
        </w:rPr>
        <w:tab/>
        <w:t xml:space="preserve">BVerwG, Urt. v. 03.07.2002 – 6 CN 8/01, </w:t>
      </w:r>
      <w:r w:rsidR="001A3E5E" w:rsidRPr="00A87B87">
        <w:rPr>
          <w:rFonts w:ascii="Verdana" w:hAnsi="Verdana"/>
          <w:sz w:val="20"/>
        </w:rPr>
        <w:t>juris, Rn. 34; Urt. v. 19.12.1985 – 7 C 65.82, BVerwGE 72, 300, 315, VGH Baden-Württemberg, Urt. v. 7. Oktober 2020 – 8 S 2959/18, Rn. 51 – juris).</w:t>
      </w:r>
    </w:p>
  </w:endnote>
  <w:endnote w:id="12">
    <w:p w14:paraId="5A77A930" w14:textId="039B7965" w:rsidR="00317B61" w:rsidRPr="00A87B87" w:rsidRDefault="006C176F">
      <w:pPr>
        <w:pStyle w:val="Endnotentext"/>
        <w:rPr>
          <w:rFonts w:ascii="Verdana" w:hAnsi="Verdana"/>
          <w:sz w:val="20"/>
        </w:rPr>
      </w:pPr>
      <w:r>
        <w:rPr>
          <w:rFonts w:ascii="Verdana" w:hAnsi="Verdana"/>
          <w:sz w:val="20"/>
        </w:rPr>
        <w:t>[</w:t>
      </w:r>
      <w:r w:rsidR="00317B61" w:rsidRPr="00A87B87">
        <w:rPr>
          <w:rStyle w:val="Endnotenzeichen"/>
          <w:rFonts w:ascii="Verdana" w:hAnsi="Verdana"/>
          <w:sz w:val="20"/>
        </w:rPr>
        <w:endnoteRef/>
      </w:r>
      <w:r>
        <w:rPr>
          <w:rFonts w:ascii="Verdana" w:hAnsi="Verdana"/>
          <w:sz w:val="20"/>
        </w:rPr>
        <w:t>]</w:t>
      </w:r>
      <w:r w:rsidR="00317B61" w:rsidRPr="00A87B87">
        <w:rPr>
          <w:rFonts w:ascii="Verdana" w:hAnsi="Verdana"/>
          <w:sz w:val="20"/>
        </w:rPr>
        <w:t xml:space="preserve"> </w:t>
      </w:r>
      <w:r w:rsidR="00317B61" w:rsidRPr="00A87B87">
        <w:rPr>
          <w:rFonts w:ascii="Verdana" w:hAnsi="Verdana"/>
          <w:sz w:val="20"/>
        </w:rPr>
        <w:tab/>
        <w:t xml:space="preserve">BVerwG, Urt. v. 03.07.2002 – 6 CN 8/01, </w:t>
      </w:r>
      <w:r w:rsidR="00317B61" w:rsidRPr="00A87B87">
        <w:rPr>
          <w:rFonts w:ascii="Verdana" w:hAnsi="Verdana"/>
          <w:sz w:val="20"/>
        </w:rPr>
        <w:t>juris, Rn. 34; Urt. v. 26.02.1974 – 1 C 31.72, BVerwGE 45, 51, 57; VGH Baden-Württemberg, Urt. v. 07.10.2020 – 8 S 2959/18, juris, Rn. 52.</w:t>
      </w:r>
    </w:p>
  </w:endnote>
  <w:endnote w:id="13">
    <w:p w14:paraId="4D78B6B9" w14:textId="7B12FA03" w:rsidR="000F0E0B" w:rsidRPr="00A87B87" w:rsidRDefault="006C176F">
      <w:pPr>
        <w:pStyle w:val="Endnotentext"/>
        <w:rPr>
          <w:rFonts w:ascii="Verdana" w:hAnsi="Verdana"/>
          <w:sz w:val="20"/>
        </w:rPr>
      </w:pPr>
      <w:r>
        <w:rPr>
          <w:rFonts w:ascii="Verdana" w:hAnsi="Verdana"/>
          <w:sz w:val="20"/>
        </w:rPr>
        <w:t>[</w:t>
      </w:r>
      <w:r w:rsidR="000F0E0B" w:rsidRPr="00A87B87">
        <w:rPr>
          <w:rStyle w:val="Endnotenzeichen"/>
          <w:rFonts w:ascii="Verdana" w:hAnsi="Verdana"/>
          <w:sz w:val="20"/>
        </w:rPr>
        <w:endnoteRef/>
      </w:r>
      <w:r>
        <w:rPr>
          <w:rFonts w:ascii="Verdana" w:hAnsi="Verdana"/>
          <w:sz w:val="20"/>
        </w:rPr>
        <w:t>]</w:t>
      </w:r>
      <w:r w:rsidR="000F0E0B" w:rsidRPr="00A87B87">
        <w:rPr>
          <w:rFonts w:ascii="Verdana" w:hAnsi="Verdana"/>
          <w:sz w:val="20"/>
        </w:rPr>
        <w:t xml:space="preserve"> </w:t>
      </w:r>
      <w:r w:rsidR="000F0E0B" w:rsidRPr="00A87B87">
        <w:rPr>
          <w:rFonts w:ascii="Verdana" w:hAnsi="Verdana"/>
          <w:sz w:val="20"/>
        </w:rPr>
        <w:tab/>
        <w:t xml:space="preserve">VGH Baden-Württemberg, Urt. v. 07.10.2020 – 8 S 2959/18, </w:t>
      </w:r>
      <w:r w:rsidR="000F0E0B" w:rsidRPr="00A87B87">
        <w:rPr>
          <w:rFonts w:ascii="Verdana" w:hAnsi="Verdana"/>
          <w:sz w:val="20"/>
        </w:rPr>
        <w:t>juris, Rn. 54.</w:t>
      </w:r>
    </w:p>
  </w:endnote>
  <w:endnote w:id="14">
    <w:p w14:paraId="321688BD" w14:textId="1931983C" w:rsidR="00F734CD" w:rsidRPr="00A87B87" w:rsidRDefault="006C176F">
      <w:pPr>
        <w:pStyle w:val="Endnotentext"/>
        <w:rPr>
          <w:rFonts w:ascii="Verdana" w:hAnsi="Verdana"/>
          <w:sz w:val="20"/>
        </w:rPr>
      </w:pPr>
      <w:r>
        <w:rPr>
          <w:rFonts w:ascii="Verdana" w:hAnsi="Verdana"/>
          <w:sz w:val="20"/>
        </w:rPr>
        <w:t>[</w:t>
      </w:r>
      <w:r w:rsidR="00F734CD" w:rsidRPr="00A87B87">
        <w:rPr>
          <w:rStyle w:val="Endnotenzeichen"/>
          <w:rFonts w:ascii="Verdana" w:hAnsi="Verdana"/>
          <w:sz w:val="20"/>
        </w:rPr>
        <w:endnoteRef/>
      </w:r>
      <w:r>
        <w:rPr>
          <w:rFonts w:ascii="Verdana" w:hAnsi="Verdana"/>
          <w:sz w:val="20"/>
        </w:rPr>
        <w:t>]</w:t>
      </w:r>
      <w:r w:rsidR="00F734CD" w:rsidRPr="00A87B87">
        <w:rPr>
          <w:rFonts w:ascii="Verdana" w:hAnsi="Verdana"/>
          <w:sz w:val="20"/>
        </w:rPr>
        <w:t xml:space="preserve"> </w:t>
      </w:r>
      <w:r w:rsidR="00F734CD" w:rsidRPr="00A87B87">
        <w:rPr>
          <w:rFonts w:ascii="Verdana" w:hAnsi="Verdana"/>
          <w:sz w:val="20"/>
        </w:rPr>
        <w:tab/>
        <w:t xml:space="preserve">Sauter, LBO BW, § 3 </w:t>
      </w:r>
      <w:r w:rsidR="00F734CD" w:rsidRPr="00A87B87">
        <w:rPr>
          <w:rFonts w:ascii="Verdana" w:hAnsi="Verdana"/>
          <w:sz w:val="20"/>
        </w:rPr>
        <w:t>Rn. 12; VGH Baden-Württemberg, Urt. v. 07.10.2020 – 8 S 2959/18, juris, Rn. 62.</w:t>
      </w:r>
    </w:p>
  </w:endnote>
  <w:endnote w:id="15">
    <w:p w14:paraId="66DCF1DF" w14:textId="7B91641E" w:rsidR="003706AF" w:rsidRPr="007460E4" w:rsidRDefault="006C176F">
      <w:pPr>
        <w:pStyle w:val="Endnotentext"/>
        <w:rPr>
          <w:rFonts w:ascii="Verdana" w:hAnsi="Verdana"/>
          <w:sz w:val="20"/>
        </w:rPr>
      </w:pPr>
      <w:r w:rsidRPr="006C176F">
        <w:rPr>
          <w:rFonts w:ascii="Verdana" w:hAnsi="Verdana"/>
          <w:sz w:val="20"/>
          <w:lang w:val="en-GB"/>
        </w:rPr>
        <w:t>[</w:t>
      </w:r>
      <w:r w:rsidR="003706AF" w:rsidRPr="00A87B87">
        <w:rPr>
          <w:rStyle w:val="Endnotenzeichen"/>
          <w:rFonts w:ascii="Verdana" w:hAnsi="Verdana"/>
          <w:sz w:val="20"/>
        </w:rPr>
        <w:endnoteRef/>
      </w:r>
      <w:r w:rsidRPr="006C176F">
        <w:rPr>
          <w:rFonts w:ascii="Verdana" w:hAnsi="Verdana"/>
          <w:sz w:val="20"/>
          <w:lang w:val="en-GB"/>
        </w:rPr>
        <w:t>]</w:t>
      </w:r>
      <w:r w:rsidR="003706AF" w:rsidRPr="00A87B87">
        <w:rPr>
          <w:rFonts w:ascii="Verdana" w:hAnsi="Verdana"/>
          <w:sz w:val="20"/>
          <w:lang w:val="en-GB"/>
        </w:rPr>
        <w:t xml:space="preserve"> </w:t>
      </w:r>
      <w:r w:rsidR="00243AEE" w:rsidRPr="00A87B87">
        <w:rPr>
          <w:rFonts w:ascii="Verdana" w:hAnsi="Verdana"/>
          <w:sz w:val="20"/>
          <w:lang w:val="en-GB"/>
        </w:rPr>
        <w:tab/>
        <w:t xml:space="preserve">de Windt, L., </w:t>
      </w:r>
      <w:r w:rsidR="00243AEE" w:rsidRPr="00A87B87">
        <w:rPr>
          <w:rFonts w:ascii="Verdana" w:hAnsi="Verdana"/>
          <w:sz w:val="20"/>
          <w:lang w:val="en-GB"/>
        </w:rPr>
        <w:t xml:space="preserve">Chaurand, P. und Rose, J.: Kinetics of steel slag leaching. </w:t>
      </w:r>
      <w:r w:rsidR="00243AEE" w:rsidRPr="007460E4">
        <w:rPr>
          <w:rFonts w:ascii="Verdana" w:hAnsi="Verdana"/>
          <w:sz w:val="20"/>
        </w:rPr>
        <w:t>Waste Management 31 (2011) Nr. 2, S. 225-235</w:t>
      </w:r>
    </w:p>
  </w:endnote>
  <w:endnote w:id="16">
    <w:p w14:paraId="1F0CFAB1" w14:textId="0207B533" w:rsidR="00F671DB" w:rsidRPr="00A87B87" w:rsidRDefault="006C176F">
      <w:pPr>
        <w:pStyle w:val="Endnotentext"/>
        <w:rPr>
          <w:rFonts w:ascii="Verdana" w:hAnsi="Verdana"/>
          <w:sz w:val="20"/>
        </w:rPr>
      </w:pPr>
      <w:r>
        <w:rPr>
          <w:rFonts w:ascii="Verdana" w:hAnsi="Verdana"/>
          <w:sz w:val="20"/>
        </w:rPr>
        <w:t>[</w:t>
      </w:r>
      <w:r w:rsidR="00F671DB" w:rsidRPr="00A87B87">
        <w:rPr>
          <w:rStyle w:val="Endnotenzeichen"/>
          <w:rFonts w:ascii="Verdana" w:hAnsi="Verdana"/>
          <w:sz w:val="20"/>
        </w:rPr>
        <w:endnoteRef/>
      </w:r>
      <w:r>
        <w:rPr>
          <w:rFonts w:ascii="Verdana" w:hAnsi="Verdana"/>
          <w:sz w:val="20"/>
        </w:rPr>
        <w:t>]</w:t>
      </w:r>
      <w:r w:rsidR="00F671DB" w:rsidRPr="00A87B87">
        <w:rPr>
          <w:rFonts w:ascii="Verdana" w:hAnsi="Verdana"/>
          <w:sz w:val="20"/>
        </w:rPr>
        <w:t xml:space="preserve"> </w:t>
      </w:r>
      <w:r w:rsidR="00F671DB" w:rsidRPr="00A87B87">
        <w:rPr>
          <w:rFonts w:ascii="Verdana" w:hAnsi="Verdana"/>
          <w:sz w:val="20"/>
        </w:rPr>
        <w:tab/>
        <w:t xml:space="preserve">Susset, B.; </w:t>
      </w:r>
      <w:r w:rsidR="00F671DB" w:rsidRPr="00A87B87">
        <w:rPr>
          <w:rFonts w:ascii="Verdana" w:hAnsi="Verdana"/>
          <w:sz w:val="20"/>
        </w:rPr>
        <w:t>Leuchs, W. (LANUV NRW): Ableitung von Materialwerten im Eluat und Einbaumöglichkeiten mineralischer Ersatzbaustoffe – Umsetzung der Ergebnisse des BMBF-Verbundes „Sickerwasserprognose“ in konkrete Vorschläge zur Harmonisie-rung von Methoden. FuE-Vorhaben im Auftrag des UBA, FKZ 205 74 251, Februar 2008</w:t>
      </w:r>
    </w:p>
  </w:endnote>
  <w:endnote w:id="17">
    <w:p w14:paraId="3256D0FF" w14:textId="7FC38D1E" w:rsidR="00855EE8" w:rsidRPr="00D83338" w:rsidRDefault="006C176F" w:rsidP="006C176F">
      <w:pPr>
        <w:pStyle w:val="Endnotentext"/>
        <w:rPr>
          <w:rFonts w:ascii="Verdana" w:eastAsia="Verdana" w:hAnsi="Verdana"/>
          <w:color w:val="000000" w:themeColor="text1"/>
          <w:sz w:val="20"/>
        </w:rPr>
      </w:pPr>
      <w:r>
        <w:rPr>
          <w:rFonts w:ascii="Verdana" w:eastAsia="Verdana" w:hAnsi="Verdana"/>
          <w:sz w:val="20"/>
        </w:rPr>
        <w:t>[</w:t>
      </w:r>
      <w:r w:rsidR="00855EE8" w:rsidRPr="00A87B87">
        <w:rPr>
          <w:rFonts w:ascii="Verdana" w:eastAsia="Verdana" w:hAnsi="Verdana"/>
          <w:sz w:val="20"/>
        </w:rPr>
        <w:endnoteRef/>
      </w:r>
      <w:r w:rsidR="00855EE8" w:rsidRPr="00A87B87">
        <w:rPr>
          <w:rFonts w:ascii="Verdana" w:eastAsia="Verdana" w:hAnsi="Verdana"/>
          <w:sz w:val="20"/>
        </w:rPr>
        <w:t>]</w:t>
      </w:r>
      <w:r w:rsidR="00855EE8" w:rsidRPr="00A87B87">
        <w:rPr>
          <w:rFonts w:ascii="Verdana" w:eastAsia="Verdana" w:hAnsi="Verdana"/>
          <w:sz w:val="20"/>
        </w:rPr>
        <w:tab/>
      </w:r>
      <w:r w:rsidR="002420C2" w:rsidRPr="00D83338">
        <w:rPr>
          <w:rFonts w:ascii="Verdana" w:hAnsi="Verdana"/>
          <w:color w:val="000000" w:themeColor="text1"/>
          <w:sz w:val="20"/>
          <w:shd w:val="clear" w:color="auto" w:fill="FFFFFF"/>
        </w:rPr>
        <w:t>DIBt – Deutsches Institut für Bautechnik (Hrsg.) (2009): Grundsätze zur Bewertung der Auswirkungen von Bauprodukten auf Boden und Grundwasser. Teil I – Mai 2009, Teil II – September 2011 und Teil III – Mai 2009. </w:t>
      </w:r>
      <w:r w:rsidR="00855EE8" w:rsidRPr="00D83338">
        <w:rPr>
          <w:rFonts w:ascii="Verdana" w:hAnsi="Verdana"/>
          <w:color w:val="000000" w:themeColor="text1"/>
          <w:sz w:val="20"/>
        </w:rPr>
        <w:t xml:space="preserve"> </w:t>
      </w:r>
    </w:p>
  </w:endnote>
  <w:endnote w:id="18">
    <w:p w14:paraId="1ADC42F4" w14:textId="533FC7FF" w:rsidR="00855EE8" w:rsidRPr="00A87B87" w:rsidRDefault="006C176F" w:rsidP="006C176F">
      <w:pPr>
        <w:pStyle w:val="Endnotentext"/>
        <w:rPr>
          <w:rFonts w:ascii="Verdana" w:hAnsi="Verdana"/>
          <w:sz w:val="20"/>
        </w:rPr>
      </w:pPr>
      <w:r>
        <w:rPr>
          <w:rFonts w:ascii="Verdana" w:hAnsi="Verdana"/>
          <w:sz w:val="20"/>
        </w:rPr>
        <w:t>[</w:t>
      </w:r>
      <w:r w:rsidR="00855EE8" w:rsidRPr="00A87B87">
        <w:rPr>
          <w:rStyle w:val="Endnotenzeichen"/>
          <w:rFonts w:ascii="Verdana" w:hAnsi="Verdana"/>
          <w:sz w:val="20"/>
        </w:rPr>
        <w:endnoteRef/>
      </w:r>
      <w:r>
        <w:rPr>
          <w:rFonts w:ascii="Verdana" w:hAnsi="Verdana"/>
          <w:sz w:val="20"/>
        </w:rPr>
        <w:t>]</w:t>
      </w:r>
      <w:r w:rsidR="00855EE8" w:rsidRPr="00A87B87">
        <w:rPr>
          <w:rFonts w:ascii="Verdana" w:hAnsi="Verdana"/>
          <w:sz w:val="20"/>
        </w:rPr>
        <w:t xml:space="preserve"> </w:t>
      </w:r>
      <w:r w:rsidR="00855EE8" w:rsidRPr="00A87B87">
        <w:rPr>
          <w:rFonts w:ascii="Verdana" w:hAnsi="Verdana"/>
          <w:sz w:val="20"/>
        </w:rPr>
        <w:tab/>
        <w:t>Länderarbeitsgemeinschaft Wasser: Ableitung von Geringfügigkeitsschwellen</w:t>
      </w:r>
      <w:r>
        <w:rPr>
          <w:rFonts w:ascii="Verdana" w:hAnsi="Verdana"/>
          <w:sz w:val="20"/>
        </w:rPr>
        <w:t xml:space="preserve"> </w:t>
      </w:r>
      <w:r w:rsidR="00855EE8" w:rsidRPr="00A87B87">
        <w:rPr>
          <w:rFonts w:ascii="Verdana" w:hAnsi="Verdana"/>
          <w:sz w:val="20"/>
        </w:rPr>
        <w:t>für das Grundwasser, Dezember 2004</w:t>
      </w:r>
    </w:p>
  </w:endnote>
  <w:endnote w:id="19">
    <w:p w14:paraId="6787F7D7" w14:textId="7E603999" w:rsidR="00E001D3" w:rsidRPr="00A87B87" w:rsidRDefault="006C176F">
      <w:pPr>
        <w:pStyle w:val="Endnotentext"/>
        <w:rPr>
          <w:rFonts w:ascii="Verdana" w:hAnsi="Verdana"/>
          <w:sz w:val="20"/>
        </w:rPr>
      </w:pPr>
      <w:r>
        <w:rPr>
          <w:rFonts w:ascii="Verdana" w:hAnsi="Verdana"/>
          <w:sz w:val="20"/>
        </w:rPr>
        <w:t>[</w:t>
      </w:r>
      <w:r w:rsidR="00E001D3" w:rsidRPr="00A87B87">
        <w:rPr>
          <w:rStyle w:val="Endnotenzeichen"/>
          <w:rFonts w:ascii="Verdana" w:hAnsi="Verdana"/>
          <w:sz w:val="20"/>
        </w:rPr>
        <w:endnoteRef/>
      </w:r>
      <w:r>
        <w:rPr>
          <w:rFonts w:ascii="Verdana" w:hAnsi="Verdana"/>
          <w:sz w:val="20"/>
        </w:rPr>
        <w:t>]</w:t>
      </w:r>
      <w:r w:rsidR="00E001D3" w:rsidRPr="00A87B87">
        <w:rPr>
          <w:rFonts w:ascii="Verdana" w:hAnsi="Verdana"/>
          <w:sz w:val="20"/>
        </w:rPr>
        <w:t xml:space="preserve"> </w:t>
      </w:r>
      <w:r w:rsidR="00E001D3" w:rsidRPr="00A87B87">
        <w:rPr>
          <w:rFonts w:ascii="Verdana" w:hAnsi="Verdana"/>
          <w:sz w:val="20"/>
        </w:rPr>
        <w:tab/>
      </w:r>
      <w:r w:rsidR="00216387" w:rsidRPr="00A87B87">
        <w:rPr>
          <w:rFonts w:ascii="Verdana" w:hAnsi="Verdana"/>
          <w:sz w:val="20"/>
        </w:rPr>
        <w:t xml:space="preserve">Beckmann, in: Landmann/Rohmer, Umweltrecht, Stand: Juli 2018, KrWG, § 7 </w:t>
      </w:r>
      <w:r w:rsidR="00216387" w:rsidRPr="00A87B87">
        <w:rPr>
          <w:rFonts w:ascii="Verdana" w:hAnsi="Verdana"/>
          <w:sz w:val="20"/>
        </w:rPr>
        <w:t>Rn. 57 f.; Mann, in: Versteyl/Mann/Schomerus, KrWG, 3. Aufl. 2012, § 7 Rn. 19; Schink, in: Schink/Versteyl, KrWG, 2. Aufl. 2016, § 7 Rn. 38; Kropp, in: v. Lersner/Wendenburg/Kropp/Rüdiger, Recht der Abfall- und Kreislaufwirtschaft, Stand: 12/2018, KrWG, § 7 Rn. 47. Schon zu § 5 Abs. 3 Satz 3 KrW-/AbfG a.F. das OVG Lüneburg, Urt. v. 24.06.2011 – 7 LC 10/10, juris, Rn. 37, mit dem zutreffenden Argument, dass andernfalls die Einhaltung des Schadlosigkeitsgebots bzw. des Schadstoffanreicherungsverbots fast nie bejaht werden könnte.</w:t>
      </w:r>
    </w:p>
  </w:endnote>
  <w:endnote w:id="20">
    <w:p w14:paraId="4E39CAED" w14:textId="18359D1D" w:rsidR="00F64017" w:rsidRPr="00A87B87" w:rsidRDefault="006C176F">
      <w:pPr>
        <w:pStyle w:val="Endnotentext"/>
        <w:rPr>
          <w:rFonts w:ascii="Verdana" w:hAnsi="Verdana"/>
          <w:sz w:val="20"/>
        </w:rPr>
      </w:pPr>
      <w:r>
        <w:rPr>
          <w:rFonts w:ascii="Verdana" w:hAnsi="Verdana"/>
          <w:sz w:val="20"/>
        </w:rPr>
        <w:t>[</w:t>
      </w:r>
      <w:r w:rsidR="00F64017" w:rsidRPr="00A87B87">
        <w:rPr>
          <w:rStyle w:val="Endnotenzeichen"/>
          <w:rFonts w:ascii="Verdana" w:hAnsi="Verdana"/>
          <w:sz w:val="20"/>
        </w:rPr>
        <w:endnoteRef/>
      </w:r>
      <w:r>
        <w:rPr>
          <w:rFonts w:ascii="Verdana" w:hAnsi="Verdana"/>
          <w:sz w:val="20"/>
        </w:rPr>
        <w:t>]</w:t>
      </w:r>
      <w:r w:rsidR="00F64017" w:rsidRPr="00A87B87">
        <w:rPr>
          <w:rFonts w:ascii="Verdana" w:hAnsi="Verdana"/>
          <w:sz w:val="20"/>
        </w:rPr>
        <w:t xml:space="preserve"> </w:t>
      </w:r>
      <w:r w:rsidR="00F64017" w:rsidRPr="00A87B87">
        <w:rPr>
          <w:rFonts w:ascii="Verdana" w:hAnsi="Verdana"/>
          <w:sz w:val="20"/>
        </w:rPr>
        <w:tab/>
      </w:r>
      <w:r w:rsidR="00F64017" w:rsidRPr="00A87B87">
        <w:rPr>
          <w:rFonts w:ascii="Verdana" w:hAnsi="Verdana"/>
          <w:sz w:val="20"/>
        </w:rPr>
        <w:t>Versteyl/Jacobj, in: FEhS (Hrsg.), Heft 12 FEhS-Schriftenreihe, Gutachten über den rechtlichen Status von Schlacken aus der Eisen- und Stahlherstellung, Duisburg 2005, Seite 52.</w:t>
      </w:r>
    </w:p>
  </w:endnote>
  <w:endnote w:id="21">
    <w:p w14:paraId="5B4C48E6" w14:textId="361B56D1" w:rsidR="00F64017" w:rsidRPr="00A87B87" w:rsidRDefault="006C176F">
      <w:pPr>
        <w:pStyle w:val="Endnotentext"/>
        <w:rPr>
          <w:rFonts w:ascii="Verdana" w:hAnsi="Verdana"/>
          <w:sz w:val="20"/>
        </w:rPr>
      </w:pPr>
      <w:r>
        <w:rPr>
          <w:rFonts w:ascii="Verdana" w:hAnsi="Verdana"/>
          <w:sz w:val="20"/>
        </w:rPr>
        <w:t>[</w:t>
      </w:r>
      <w:r w:rsidR="00F64017" w:rsidRPr="00A87B87">
        <w:rPr>
          <w:rStyle w:val="Endnotenzeichen"/>
          <w:rFonts w:ascii="Verdana" w:hAnsi="Verdana"/>
          <w:sz w:val="20"/>
        </w:rPr>
        <w:endnoteRef/>
      </w:r>
      <w:r>
        <w:rPr>
          <w:rFonts w:ascii="Verdana" w:hAnsi="Verdana"/>
          <w:sz w:val="20"/>
        </w:rPr>
        <w:t>]</w:t>
      </w:r>
      <w:r w:rsidR="00F64017" w:rsidRPr="00A87B87">
        <w:rPr>
          <w:rFonts w:ascii="Verdana" w:hAnsi="Verdana"/>
          <w:sz w:val="20"/>
        </w:rPr>
        <w:t xml:space="preserve"> </w:t>
      </w:r>
      <w:r w:rsidR="00B938F5" w:rsidRPr="00A87B87">
        <w:rPr>
          <w:rFonts w:ascii="Verdana" w:hAnsi="Verdana"/>
          <w:sz w:val="20"/>
        </w:rPr>
        <w:tab/>
        <w:t xml:space="preserve">Kropp, in: v. Lersner/Wendenburg/Kropp/Rüdiger, Recht der Abfall- und Kreislaufwirtschaft, 2. Aufl. 2015, Stand: Dezember 2018, Bd. 1, 0050, § 7 KrWG </w:t>
      </w:r>
      <w:r w:rsidR="00B938F5" w:rsidRPr="00A87B87">
        <w:rPr>
          <w:rFonts w:ascii="Verdana" w:hAnsi="Verdana"/>
          <w:sz w:val="20"/>
        </w:rPr>
        <w:t>Rn. 47</w:t>
      </w:r>
    </w:p>
  </w:endnote>
  <w:endnote w:id="22">
    <w:p w14:paraId="63D188E2" w14:textId="5C83B643" w:rsidR="0049153E" w:rsidRPr="007460E4" w:rsidRDefault="006C176F">
      <w:pPr>
        <w:pStyle w:val="Endnotentext"/>
        <w:rPr>
          <w:rFonts w:ascii="Verdana" w:hAnsi="Verdana"/>
          <w:sz w:val="20"/>
          <w:lang w:val="en-GB"/>
        </w:rPr>
      </w:pPr>
      <w:r>
        <w:rPr>
          <w:rFonts w:ascii="Verdana" w:hAnsi="Verdana"/>
          <w:sz w:val="20"/>
        </w:rPr>
        <w:t>[</w:t>
      </w:r>
      <w:r w:rsidR="0049153E" w:rsidRPr="00A87B87">
        <w:rPr>
          <w:rStyle w:val="Endnotenzeichen"/>
          <w:rFonts w:ascii="Verdana" w:hAnsi="Verdana"/>
          <w:sz w:val="20"/>
        </w:rPr>
        <w:endnoteRef/>
      </w:r>
      <w:r>
        <w:rPr>
          <w:rFonts w:ascii="Verdana" w:hAnsi="Verdana"/>
          <w:sz w:val="20"/>
        </w:rPr>
        <w:t>]</w:t>
      </w:r>
      <w:r w:rsidR="0049153E" w:rsidRPr="00A87B87">
        <w:rPr>
          <w:rFonts w:ascii="Verdana" w:hAnsi="Verdana"/>
          <w:sz w:val="20"/>
        </w:rPr>
        <w:t xml:space="preserve"> </w:t>
      </w:r>
      <w:r w:rsidR="0049153E" w:rsidRPr="00A87B87">
        <w:rPr>
          <w:rFonts w:ascii="Verdana" w:hAnsi="Verdana"/>
          <w:sz w:val="20"/>
        </w:rPr>
        <w:tab/>
        <w:t>Schink, in: Schink/</w:t>
      </w:r>
      <w:r w:rsidR="0049153E" w:rsidRPr="00A87B87">
        <w:rPr>
          <w:rFonts w:ascii="Verdana" w:hAnsi="Verdana"/>
          <w:sz w:val="20"/>
        </w:rPr>
        <w:t xml:space="preserve">Versteyl, KrWG, 2. </w:t>
      </w:r>
      <w:r w:rsidR="0049153E" w:rsidRPr="007460E4">
        <w:rPr>
          <w:rFonts w:ascii="Verdana" w:hAnsi="Verdana"/>
          <w:sz w:val="20"/>
          <w:lang w:val="en-GB"/>
        </w:rPr>
        <w:t>Aufl. 2016, § 7 Rn. 38.</w:t>
      </w:r>
    </w:p>
  </w:endnote>
  <w:endnote w:id="23">
    <w:p w14:paraId="3B169DB0" w14:textId="17EAE025" w:rsidR="005D7951" w:rsidRPr="00A87B87" w:rsidRDefault="006C176F">
      <w:pPr>
        <w:pStyle w:val="Endnotentext"/>
        <w:rPr>
          <w:rFonts w:ascii="Verdana" w:hAnsi="Verdana"/>
          <w:sz w:val="20"/>
        </w:rPr>
      </w:pPr>
      <w:r w:rsidRPr="00277FE6">
        <w:rPr>
          <w:rFonts w:ascii="Verdana" w:hAnsi="Verdana"/>
          <w:sz w:val="20"/>
          <w:lang w:val="en-GB"/>
        </w:rPr>
        <w:t>[</w:t>
      </w:r>
      <w:r w:rsidR="005D7951" w:rsidRPr="00A87B87">
        <w:rPr>
          <w:rStyle w:val="Endnotenzeichen"/>
          <w:rFonts w:ascii="Verdana" w:hAnsi="Verdana"/>
          <w:sz w:val="20"/>
        </w:rPr>
        <w:endnoteRef/>
      </w:r>
      <w:r w:rsidRPr="00277FE6">
        <w:rPr>
          <w:rFonts w:ascii="Verdana" w:hAnsi="Verdana"/>
          <w:sz w:val="20"/>
          <w:lang w:val="en-GB"/>
        </w:rPr>
        <w:t>]</w:t>
      </w:r>
      <w:r w:rsidR="005D7951" w:rsidRPr="00277FE6">
        <w:rPr>
          <w:rFonts w:ascii="Verdana" w:hAnsi="Verdana"/>
          <w:sz w:val="20"/>
          <w:lang w:val="en-GB"/>
        </w:rPr>
        <w:t xml:space="preserve"> </w:t>
      </w:r>
      <w:r w:rsidR="005D7951" w:rsidRPr="00277FE6">
        <w:rPr>
          <w:rFonts w:ascii="Verdana" w:hAnsi="Verdana"/>
          <w:sz w:val="20"/>
          <w:lang w:val="en-GB"/>
        </w:rPr>
        <w:tab/>
      </w:r>
      <w:r w:rsidR="005D7951" w:rsidRPr="00277FE6">
        <w:rPr>
          <w:rFonts w:ascii="Verdana" w:hAnsi="Verdana"/>
          <w:sz w:val="20"/>
          <w:lang w:val="en-GB"/>
        </w:rPr>
        <w:t xml:space="preserve">Nds. OVG, Urt. v. 24.06.2011 – 7 LC 10/10, juris, Rn. 55 (= NdsVBl. </w:t>
      </w:r>
      <w:r w:rsidR="005D7951" w:rsidRPr="00A87B87">
        <w:rPr>
          <w:rFonts w:ascii="Verdana" w:hAnsi="Verdana"/>
          <w:sz w:val="20"/>
        </w:rPr>
        <w:t>2012, Seite 16/20).</w:t>
      </w:r>
    </w:p>
  </w:endnote>
  <w:endnote w:id="24">
    <w:p w14:paraId="4E77921B" w14:textId="4BF506BD" w:rsidR="00365F0A" w:rsidRPr="00A87B87" w:rsidRDefault="006C176F">
      <w:pPr>
        <w:pStyle w:val="Endnotentext"/>
        <w:rPr>
          <w:rFonts w:ascii="Verdana" w:hAnsi="Verdana"/>
          <w:sz w:val="20"/>
        </w:rPr>
      </w:pPr>
      <w:r>
        <w:rPr>
          <w:rFonts w:ascii="Verdana" w:hAnsi="Verdana"/>
          <w:sz w:val="20"/>
        </w:rPr>
        <w:t>[</w:t>
      </w:r>
      <w:r w:rsidR="00365F0A" w:rsidRPr="00A87B87">
        <w:rPr>
          <w:rStyle w:val="Endnotenzeichen"/>
          <w:rFonts w:ascii="Verdana" w:hAnsi="Verdana"/>
          <w:sz w:val="20"/>
        </w:rPr>
        <w:endnoteRef/>
      </w:r>
      <w:r>
        <w:rPr>
          <w:rFonts w:ascii="Verdana" w:hAnsi="Verdana"/>
          <w:sz w:val="20"/>
        </w:rPr>
        <w:t>]</w:t>
      </w:r>
      <w:r w:rsidR="00365F0A" w:rsidRPr="00A87B87">
        <w:rPr>
          <w:rFonts w:ascii="Verdana" w:hAnsi="Verdana"/>
          <w:sz w:val="20"/>
        </w:rPr>
        <w:t xml:space="preserve"> </w:t>
      </w:r>
      <w:r w:rsidR="00365F0A" w:rsidRPr="00A87B87">
        <w:rPr>
          <w:rFonts w:ascii="Verdana" w:hAnsi="Verdana"/>
          <w:sz w:val="20"/>
        </w:rPr>
        <w:tab/>
        <w:t xml:space="preserve">BayObLG, </w:t>
      </w:r>
      <w:r w:rsidR="00365F0A" w:rsidRPr="00A87B87">
        <w:rPr>
          <w:rFonts w:ascii="Verdana" w:hAnsi="Verdana"/>
          <w:sz w:val="20"/>
        </w:rPr>
        <w:t>Beschl.v. 09.03.1995 – 3 ObOWi 19/95, NVwZ-RR 1995, 513, 514.</w:t>
      </w:r>
    </w:p>
  </w:endnote>
  <w:endnote w:id="25">
    <w:p w14:paraId="57167372" w14:textId="18A34FB8" w:rsidR="00995051" w:rsidRPr="00A87B87" w:rsidRDefault="006C176F">
      <w:pPr>
        <w:pStyle w:val="Endnotentext"/>
        <w:rPr>
          <w:rFonts w:ascii="Verdana" w:hAnsi="Verdana"/>
          <w:sz w:val="20"/>
        </w:rPr>
      </w:pPr>
      <w:r>
        <w:rPr>
          <w:rFonts w:ascii="Verdana" w:hAnsi="Verdana"/>
          <w:sz w:val="20"/>
        </w:rPr>
        <w:t>[</w:t>
      </w:r>
      <w:r w:rsidR="00995051" w:rsidRPr="00A87B87">
        <w:rPr>
          <w:rStyle w:val="Endnotenzeichen"/>
          <w:rFonts w:ascii="Verdana" w:hAnsi="Verdana"/>
          <w:sz w:val="20"/>
        </w:rPr>
        <w:endnoteRef/>
      </w:r>
      <w:r>
        <w:rPr>
          <w:rFonts w:ascii="Verdana" w:hAnsi="Verdana"/>
          <w:sz w:val="20"/>
        </w:rPr>
        <w:t>]</w:t>
      </w:r>
      <w:r w:rsidR="00995051" w:rsidRPr="00A87B87">
        <w:rPr>
          <w:rFonts w:ascii="Verdana" w:hAnsi="Verdana"/>
          <w:sz w:val="20"/>
        </w:rPr>
        <w:t xml:space="preserve"> </w:t>
      </w:r>
      <w:r w:rsidR="00995051" w:rsidRPr="00A87B87">
        <w:rPr>
          <w:rFonts w:ascii="Verdana" w:hAnsi="Verdana"/>
          <w:sz w:val="20"/>
        </w:rPr>
        <w:tab/>
        <w:t xml:space="preserve">Petersen, in: Jarass/Petersen, KrWG, 2014, § 3 </w:t>
      </w:r>
      <w:r w:rsidR="00995051" w:rsidRPr="00A87B87">
        <w:rPr>
          <w:rFonts w:ascii="Verdana" w:hAnsi="Verdana"/>
          <w:sz w:val="20"/>
        </w:rPr>
        <w:t>Rn. 104, und 108 a.E.</w:t>
      </w:r>
    </w:p>
  </w:endnote>
  <w:endnote w:id="26">
    <w:p w14:paraId="374FC3DF" w14:textId="4D5CF3F4" w:rsidR="00365F0A" w:rsidRPr="00A87B87" w:rsidRDefault="006C176F">
      <w:pPr>
        <w:pStyle w:val="Endnotentext"/>
        <w:rPr>
          <w:rFonts w:ascii="Verdana" w:hAnsi="Verdana"/>
          <w:sz w:val="20"/>
        </w:rPr>
      </w:pPr>
      <w:r>
        <w:rPr>
          <w:rFonts w:ascii="Verdana" w:hAnsi="Verdana"/>
          <w:sz w:val="20"/>
        </w:rPr>
        <w:t>[</w:t>
      </w:r>
      <w:r w:rsidR="00365F0A" w:rsidRPr="00A87B87">
        <w:rPr>
          <w:rStyle w:val="Endnotenzeichen"/>
          <w:rFonts w:ascii="Verdana" w:hAnsi="Verdana"/>
          <w:sz w:val="20"/>
        </w:rPr>
        <w:endnoteRef/>
      </w:r>
      <w:r>
        <w:rPr>
          <w:rFonts w:ascii="Verdana" w:hAnsi="Verdana"/>
          <w:sz w:val="20"/>
        </w:rPr>
        <w:t>]</w:t>
      </w:r>
      <w:r w:rsidR="00365F0A" w:rsidRPr="00A87B87">
        <w:rPr>
          <w:rFonts w:ascii="Verdana" w:hAnsi="Verdana"/>
          <w:sz w:val="20"/>
        </w:rPr>
        <w:t xml:space="preserve"> </w:t>
      </w:r>
      <w:r w:rsidR="00365F0A" w:rsidRPr="00A87B87">
        <w:rPr>
          <w:rFonts w:ascii="Verdana" w:hAnsi="Verdana"/>
          <w:sz w:val="20"/>
        </w:rPr>
        <w:tab/>
        <w:t xml:space="preserve">Vgl. zu alledem mit weiteren Nachweisen: BayVGH, Beschl. v. 17.02.2020 – 12 CS 19.2505, </w:t>
      </w:r>
      <w:r w:rsidR="00365F0A" w:rsidRPr="00A87B87">
        <w:rPr>
          <w:rFonts w:ascii="Verdana" w:hAnsi="Verdana"/>
          <w:sz w:val="20"/>
        </w:rPr>
        <w:t>Bayern.Recht, Ls. 3 und 10, Rn. 92.</w:t>
      </w:r>
    </w:p>
  </w:endnote>
  <w:endnote w:id="27">
    <w:p w14:paraId="6D85198F" w14:textId="335F0686" w:rsidR="007A5E37" w:rsidRPr="00A87B87" w:rsidRDefault="006C176F" w:rsidP="007A5E37">
      <w:pPr>
        <w:pStyle w:val="Endnotentext"/>
        <w:rPr>
          <w:rFonts w:ascii="Verdana" w:hAnsi="Verdana"/>
          <w:sz w:val="20"/>
        </w:rPr>
      </w:pPr>
      <w:r>
        <w:rPr>
          <w:rFonts w:ascii="Verdana" w:hAnsi="Verdana"/>
          <w:sz w:val="20"/>
        </w:rPr>
        <w:t>[</w:t>
      </w:r>
      <w:r w:rsidR="007A5E37" w:rsidRPr="00A87B87">
        <w:rPr>
          <w:rStyle w:val="Endnotenzeichen"/>
          <w:rFonts w:ascii="Verdana" w:hAnsi="Verdana"/>
          <w:sz w:val="20"/>
        </w:rPr>
        <w:endnoteRef/>
      </w:r>
      <w:r>
        <w:rPr>
          <w:rFonts w:ascii="Verdana" w:hAnsi="Verdana"/>
          <w:sz w:val="20"/>
        </w:rPr>
        <w:t>]</w:t>
      </w:r>
      <w:r w:rsidR="007A5E37" w:rsidRPr="00A87B87">
        <w:rPr>
          <w:rFonts w:ascii="Verdana" w:hAnsi="Verdana"/>
          <w:sz w:val="20"/>
        </w:rPr>
        <w:t xml:space="preserve">  </w:t>
      </w:r>
      <w:r w:rsidR="00A87B87" w:rsidRPr="00A87B87">
        <w:rPr>
          <w:rFonts w:ascii="Verdana" w:hAnsi="Verdana"/>
          <w:sz w:val="20"/>
        </w:rPr>
        <w:tab/>
      </w:r>
      <w:r w:rsidR="007A5E37" w:rsidRPr="00A87B87">
        <w:rPr>
          <w:rFonts w:ascii="Verdana" w:hAnsi="Verdana"/>
          <w:sz w:val="20"/>
        </w:rPr>
        <w:t xml:space="preserve">VGH München, Beschluss vom 17.02.2020 – 12 CS 19.2505, BeckRS 2020, 1739, </w:t>
      </w:r>
      <w:r w:rsidR="007A5E37" w:rsidRPr="00A87B87">
        <w:rPr>
          <w:rFonts w:ascii="Verdana" w:hAnsi="Verdana"/>
          <w:sz w:val="20"/>
        </w:rPr>
        <w:t>Rn. 101; so auch Reese, in: Jarass/Petersen, KrWG, 2. Auflage 2022, § 7, Rn. 55</w:t>
      </w:r>
    </w:p>
  </w:endnote>
  <w:endnote w:id="28">
    <w:p w14:paraId="508E5DE0" w14:textId="77777777" w:rsidR="00E7696D" w:rsidRPr="00A87B87" w:rsidRDefault="00E7696D" w:rsidP="00E7696D">
      <w:pPr>
        <w:pStyle w:val="Endnotentext"/>
        <w:rPr>
          <w:rFonts w:ascii="Verdana" w:hAnsi="Verdana"/>
          <w:sz w:val="20"/>
        </w:rPr>
      </w:pPr>
      <w:r>
        <w:rPr>
          <w:rFonts w:ascii="Verdana" w:hAnsi="Verdana"/>
          <w:sz w:val="20"/>
        </w:rPr>
        <w:t>[</w:t>
      </w:r>
      <w:r w:rsidRPr="00A87B87">
        <w:rPr>
          <w:rStyle w:val="Endnotenzeichen"/>
          <w:rFonts w:ascii="Verdana" w:hAnsi="Verdana"/>
          <w:sz w:val="20"/>
        </w:rPr>
        <w:endnoteRef/>
      </w:r>
      <w:r>
        <w:rPr>
          <w:rFonts w:ascii="Verdana" w:hAnsi="Verdana"/>
          <w:sz w:val="20"/>
        </w:rPr>
        <w:t>]</w:t>
      </w:r>
      <w:r w:rsidRPr="00A87B87">
        <w:rPr>
          <w:rFonts w:ascii="Verdana" w:hAnsi="Verdana"/>
          <w:sz w:val="20"/>
        </w:rPr>
        <w:t xml:space="preserve"> </w:t>
      </w:r>
      <w:r w:rsidRPr="00A87B87">
        <w:rPr>
          <w:rFonts w:ascii="Verdana" w:hAnsi="Verdana"/>
          <w:sz w:val="20"/>
        </w:rPr>
        <w:tab/>
        <w:t xml:space="preserve">VGH München, Beschluss vom 17.02.2020 – 12 CS 19.2505, BeckRS 2020, 1739, </w:t>
      </w:r>
      <w:r w:rsidRPr="00A87B87">
        <w:rPr>
          <w:rFonts w:ascii="Verdana" w:hAnsi="Verdana"/>
          <w:sz w:val="20"/>
        </w:rPr>
        <w:t>Rn. 62 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E1A99" w14:textId="77777777" w:rsidR="00911BC0" w:rsidRDefault="00911BC0">
    <w:pPr>
      <w:pStyle w:val="Fuzeile"/>
      <w:tabs>
        <w:tab w:val="clear" w:pos="9071"/>
        <w:tab w:val="right" w:pos="9639"/>
      </w:tabs>
      <w:jc w:val="right"/>
      <w:rPr>
        <w:rFonts w:ascii="Arial" w:hAnsi="Arial"/>
      </w:rPr>
    </w:pPr>
  </w:p>
  <w:p w14:paraId="427F40B0" w14:textId="77777777" w:rsidR="00911BC0" w:rsidRDefault="00911BC0">
    <w:pPr>
      <w:pStyle w:val="Fuzeile"/>
      <w:tabs>
        <w:tab w:val="clear" w:pos="9071"/>
        <w:tab w:val="right" w:pos="9639"/>
      </w:tabs>
      <w:jc w:val="right"/>
      <w:rPr>
        <w:rFonts w:ascii="Arial" w:hAnsi="Arial"/>
      </w:rPr>
    </w:pPr>
    <w:r>
      <w:rPr>
        <w:rFonts w:ascii="Arial" w:hAnsi="Arial"/>
      </w:rPr>
      <w:fldChar w:fldCharType="begin"/>
    </w:r>
    <w:r>
      <w:rPr>
        <w:rFonts w:ascii="Arial" w:hAnsi="Arial"/>
      </w:rPr>
      <w:instrText>PAGE</w:instrText>
    </w:r>
    <w:r>
      <w:rPr>
        <w:rFonts w:ascii="Arial" w:hAnsi="Arial"/>
      </w:rPr>
      <w:fldChar w:fldCharType="separate"/>
    </w:r>
    <w:r w:rsidR="00BB75CA">
      <w:rPr>
        <w:rFonts w:ascii="Arial" w:hAnsi="Arial"/>
        <w:noProof/>
      </w:rPr>
      <w:t>5</w:t>
    </w:r>
    <w:r>
      <w:rPr>
        <w:rFonts w:ascii="Arial" w:hAnsi="Arial"/>
      </w:rPr>
      <w:fldChar w:fldCharType="end"/>
    </w:r>
  </w:p>
  <w:p w14:paraId="26E1895D" w14:textId="77777777" w:rsidR="00911BC0" w:rsidRDefault="00911BC0">
    <w:pPr>
      <w:pStyle w:val="Fuzeile"/>
      <w:tabs>
        <w:tab w:val="clear" w:pos="9071"/>
        <w:tab w:val="right" w:pos="9639"/>
      </w:tabs>
      <w:jc w:val="right"/>
      <w:rPr>
        <w:rFonts w:ascii="Arial" w:hAnsi="Arial"/>
      </w:rPr>
    </w:pPr>
  </w:p>
  <w:p w14:paraId="355F7E11" w14:textId="77777777" w:rsidR="00911BC0" w:rsidRDefault="00911BC0">
    <w:pPr>
      <w:pStyle w:val="Fuzeile"/>
      <w:tabs>
        <w:tab w:val="clear" w:pos="9071"/>
        <w:tab w:val="right" w:pos="9639"/>
      </w:tabs>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13BC" w14:textId="77777777" w:rsidR="00911BC0" w:rsidRDefault="00911BC0">
    <w:pPr>
      <w:pStyle w:val="Fuzeile"/>
      <w:tabs>
        <w:tab w:val="clear" w:pos="9071"/>
        <w:tab w:val="right" w:pos="9781"/>
      </w:tabs>
      <w:rPr>
        <w:rFonts w:ascii="Arial" w:hAnsi="Arial"/>
      </w:rPr>
    </w:pPr>
  </w:p>
  <w:p w14:paraId="5B41F886" w14:textId="77777777" w:rsidR="00911BC0" w:rsidRDefault="00911BC0">
    <w:pPr>
      <w:pStyle w:val="Fuzeile"/>
      <w:rPr>
        <w:rFonts w:ascii="Arial" w:hAnsi="Arial"/>
        <w:sz w:val="20"/>
      </w:rPr>
    </w:pPr>
  </w:p>
  <w:p w14:paraId="0CE815BC" w14:textId="77777777" w:rsidR="00911BC0" w:rsidRDefault="00911BC0">
    <w:pPr>
      <w:pStyle w:val="Fuzeile"/>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488A7" w14:textId="77777777" w:rsidR="0074228C" w:rsidRDefault="0074228C">
      <w:pPr>
        <w:spacing w:after="0" w:line="240" w:lineRule="auto"/>
      </w:pPr>
      <w:r>
        <w:separator/>
      </w:r>
    </w:p>
  </w:footnote>
  <w:footnote w:type="continuationSeparator" w:id="0">
    <w:p w14:paraId="77B8C8C1" w14:textId="77777777" w:rsidR="0074228C" w:rsidRDefault="0074228C">
      <w:pPr>
        <w:spacing w:after="0" w:line="240" w:lineRule="auto"/>
      </w:pPr>
      <w:r>
        <w:continuationSeparator/>
      </w:r>
    </w:p>
  </w:footnote>
  <w:footnote w:type="continuationNotice" w:id="1">
    <w:p w14:paraId="567794D4" w14:textId="77777777" w:rsidR="0074228C" w:rsidRDefault="00742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BEDF" w14:textId="0571FC96" w:rsidR="00911BC0" w:rsidRDefault="0001142A" w:rsidP="0001142A">
    <w:pPr>
      <w:pStyle w:val="Kopfzeile"/>
      <w:pBdr>
        <w:bottom w:val="single" w:sz="6" w:space="1" w:color="auto"/>
      </w:pBdr>
      <w:tabs>
        <w:tab w:val="right" w:pos="9639"/>
      </w:tabs>
      <w:jc w:val="right"/>
      <w:rPr>
        <w:rFonts w:ascii="Arial" w:hAnsi="Arial"/>
        <w:sz w:val="16"/>
      </w:rPr>
    </w:pPr>
    <w:r>
      <w:rPr>
        <w:rFonts w:ascii="Arial" w:hAnsi="Arial"/>
        <w:noProof/>
      </w:rPr>
      <w:drawing>
        <wp:anchor distT="0" distB="0" distL="114300" distR="114300" simplePos="0" relativeHeight="251672576" behindDoc="0" locked="0" layoutInCell="1" allowOverlap="1" wp14:anchorId="378208C9" wp14:editId="4A39CB64">
          <wp:simplePos x="0" y="0"/>
          <wp:positionH relativeFrom="column">
            <wp:posOffset>-660</wp:posOffset>
          </wp:positionH>
          <wp:positionV relativeFrom="paragraph">
            <wp:posOffset>-236794</wp:posOffset>
          </wp:positionV>
          <wp:extent cx="1580083" cy="817998"/>
          <wp:effectExtent l="0" t="0" r="1270" b="1270"/>
          <wp:wrapNone/>
          <wp:docPr id="1723290217" name="Grafik 4" descr="Ein Bild, das Design, weiß,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90217" name="Grafik 4" descr="Ein Bild, das Design, weiß, Schrif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726" r="29783"/>
                  <a:stretch/>
                </pic:blipFill>
                <pic:spPr bwMode="auto">
                  <a:xfrm>
                    <a:off x="0" y="0"/>
                    <a:ext cx="1582602" cy="8193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5">
      <w:rPr>
        <w:rFonts w:ascii="Arial" w:hAnsi="Arial"/>
        <w:noProof/>
      </w:rPr>
      <w:drawing>
        <wp:anchor distT="0" distB="0" distL="114300" distR="114300" simplePos="0" relativeHeight="251670528" behindDoc="0" locked="0" layoutInCell="1" allowOverlap="1" wp14:anchorId="6F8C6047" wp14:editId="116ACABC">
          <wp:simplePos x="0" y="0"/>
          <wp:positionH relativeFrom="column">
            <wp:posOffset>1952625</wp:posOffset>
          </wp:positionH>
          <wp:positionV relativeFrom="paragraph">
            <wp:posOffset>-838835</wp:posOffset>
          </wp:positionV>
          <wp:extent cx="920750" cy="1424305"/>
          <wp:effectExtent l="0" t="0" r="0" b="4445"/>
          <wp:wrapNone/>
          <wp:docPr id="1921505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66432" behindDoc="0" locked="0" layoutInCell="1" allowOverlap="1" wp14:anchorId="32F88F5A" wp14:editId="1881222D">
          <wp:simplePos x="0" y="0"/>
          <wp:positionH relativeFrom="column">
            <wp:posOffset>4516069</wp:posOffset>
          </wp:positionH>
          <wp:positionV relativeFrom="paragraph">
            <wp:posOffset>-839266</wp:posOffset>
          </wp:positionV>
          <wp:extent cx="1238250" cy="771525"/>
          <wp:effectExtent l="0" t="0" r="0" b="9525"/>
          <wp:wrapNone/>
          <wp:docPr id="422924770" name="Grafik 5"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24770" name="Grafik 5" descr="Ein Bild, das Schrift, Text, Grafiken, Logo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75648" behindDoc="0" locked="0" layoutInCell="1" allowOverlap="1" wp14:anchorId="6032B845" wp14:editId="41B3BCEF">
          <wp:simplePos x="0" y="0"/>
          <wp:positionH relativeFrom="column">
            <wp:posOffset>3159405</wp:posOffset>
          </wp:positionH>
          <wp:positionV relativeFrom="paragraph">
            <wp:posOffset>-3175</wp:posOffset>
          </wp:positionV>
          <wp:extent cx="2754630" cy="582930"/>
          <wp:effectExtent l="0" t="0" r="7620" b="762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t="25763" b="28162"/>
                  <a:stretch>
                    <a:fillRect/>
                  </a:stretch>
                </pic:blipFill>
                <pic:spPr bwMode="auto">
                  <a:xfrm>
                    <a:off x="0" y="0"/>
                    <a:ext cx="2754630" cy="582930"/>
                  </a:xfrm>
                  <a:prstGeom prst="rect">
                    <a:avLst/>
                  </a:prstGeom>
                  <a:noFill/>
                  <a:ln>
                    <a:noFill/>
                  </a:ln>
                </pic:spPr>
              </pic:pic>
            </a:graphicData>
          </a:graphic>
        </wp:anchor>
      </w:drawing>
    </w:r>
    <w:r>
      <w:rPr>
        <w:rFonts w:ascii="Arial" w:hAnsi="Arial"/>
        <w:noProof/>
      </w:rPr>
      <w:drawing>
        <wp:anchor distT="0" distB="0" distL="114300" distR="114300" simplePos="0" relativeHeight="251668480" behindDoc="0" locked="0" layoutInCell="1" allowOverlap="1" wp14:anchorId="48B4FDF4" wp14:editId="186CC278">
          <wp:simplePos x="0" y="0"/>
          <wp:positionH relativeFrom="column">
            <wp:posOffset>2877566</wp:posOffset>
          </wp:positionH>
          <wp:positionV relativeFrom="paragraph">
            <wp:posOffset>-836930</wp:posOffset>
          </wp:positionV>
          <wp:extent cx="1704075" cy="887653"/>
          <wp:effectExtent l="0" t="0" r="0" b="8255"/>
          <wp:wrapNone/>
          <wp:docPr id="582435985" name="Grafik 6" descr="Ein Bild, das Logo, Grafiken,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35985" name="Grafik 6" descr="Ein Bild, das Logo, Grafiken, Kreis, Schrif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075" cy="887653"/>
                  </a:xfrm>
                  <a:prstGeom prst="rect">
                    <a:avLst/>
                  </a:prstGeom>
                  <a:noFill/>
                </pic:spPr>
              </pic:pic>
            </a:graphicData>
          </a:graphic>
          <wp14:sizeRelH relativeFrom="page">
            <wp14:pctWidth>0</wp14:pctWidth>
          </wp14:sizeRelH>
          <wp14:sizeRelV relativeFrom="page">
            <wp14:pctHeight>0</wp14:pctHeight>
          </wp14:sizeRelV>
        </wp:anchor>
      </w:drawing>
    </w:r>
    <w:r w:rsidR="00163DED">
      <w:rPr>
        <w:rFonts w:ascii="Arial" w:hAnsi="Arial"/>
        <w:noProof/>
      </w:rPr>
      <w:drawing>
        <wp:anchor distT="0" distB="0" distL="114300" distR="114300" simplePos="0" relativeHeight="251674624" behindDoc="0" locked="0" layoutInCell="1" allowOverlap="1" wp14:anchorId="272B384B" wp14:editId="0EEED20F">
          <wp:simplePos x="0" y="0"/>
          <wp:positionH relativeFrom="column">
            <wp:posOffset>-1016</wp:posOffset>
          </wp:positionH>
          <wp:positionV relativeFrom="paragraph">
            <wp:posOffset>-768808</wp:posOffset>
          </wp:positionV>
          <wp:extent cx="1799590" cy="409575"/>
          <wp:effectExtent l="0" t="0" r="0" b="9525"/>
          <wp:wrapNone/>
          <wp:docPr id="775517576" name="Grafik 3" descr="Ein Bild, das Text, Visitenkarte,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17576" name="Grafik 3" descr="Ein Bild, das Text, Visitenkarte, Schrift, Logo enthält.&#10;&#10;Automatisch generierte Beschreibung"/>
                  <pic:cNvPicPr>
                    <a:picLocks noChangeAspect="1" noChangeArrowheads="1"/>
                  </pic:cNvPicPr>
                </pic:nvPicPr>
                <pic:blipFill rotWithShape="1">
                  <a:blip r:embed="rId6">
                    <a:extLst>
                      <a:ext uri="{28A0092B-C50C-407E-A947-70E740481C1C}">
                        <a14:useLocalDpi xmlns:a14="http://schemas.microsoft.com/office/drawing/2010/main" val="0"/>
                      </a:ext>
                    </a:extLst>
                  </a:blip>
                  <a:srcRect t="29981" b="28424"/>
                  <a:stretch/>
                </pic:blipFill>
                <pic:spPr bwMode="auto">
                  <a:xfrm>
                    <a:off x="0" y="0"/>
                    <a:ext cx="179959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076A40" w14:textId="77777777" w:rsidR="00911BC0" w:rsidRDefault="00911BC0">
    <w:pPr>
      <w:pStyle w:val="Kopfzeile"/>
      <w:tabs>
        <w:tab w:val="right" w:pos="9639"/>
      </w:tabs>
      <w:rPr>
        <w:rFonts w:ascii="Arial" w:hAnsi="Arial"/>
        <w:sz w:val="16"/>
      </w:rPr>
    </w:pPr>
  </w:p>
  <w:p w14:paraId="0883C8D5" w14:textId="77777777" w:rsidR="00911BC0" w:rsidRDefault="00911BC0">
    <w:pPr>
      <w:pStyle w:val="Kopfzeile"/>
      <w:tabs>
        <w:tab w:val="right" w:pos="9639"/>
      </w:tabs>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C7EA" w14:textId="6F7994E2" w:rsidR="00911BC0" w:rsidRDefault="0001142A" w:rsidP="0001142A">
    <w:pPr>
      <w:pStyle w:val="Kopfzeile"/>
      <w:pBdr>
        <w:bottom w:val="single" w:sz="6" w:space="1" w:color="auto"/>
      </w:pBdr>
      <w:tabs>
        <w:tab w:val="clear" w:pos="9071"/>
        <w:tab w:val="right" w:pos="9781"/>
      </w:tabs>
      <w:jc w:val="right"/>
      <w:rPr>
        <w:rFonts w:ascii="Arial" w:hAnsi="Arial"/>
      </w:rPr>
    </w:pPr>
    <w:r>
      <w:rPr>
        <w:rFonts w:ascii="Arial" w:hAnsi="Arial"/>
        <w:noProof/>
      </w:rPr>
      <w:drawing>
        <wp:anchor distT="0" distB="0" distL="114300" distR="114300" simplePos="0" relativeHeight="251657215" behindDoc="0" locked="0" layoutInCell="1" allowOverlap="1" wp14:anchorId="17C29D2F" wp14:editId="68F9ACEE">
          <wp:simplePos x="0" y="0"/>
          <wp:positionH relativeFrom="column">
            <wp:posOffset>2880868</wp:posOffset>
          </wp:positionH>
          <wp:positionV relativeFrom="paragraph">
            <wp:posOffset>-843890</wp:posOffset>
          </wp:positionV>
          <wp:extent cx="1657119" cy="863194"/>
          <wp:effectExtent l="0" t="0" r="635" b="0"/>
          <wp:wrapNone/>
          <wp:docPr id="13519379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119" cy="863194"/>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62336" behindDoc="0" locked="0" layoutInCell="1" allowOverlap="1" wp14:anchorId="1EA6D033" wp14:editId="388EFA20">
          <wp:simplePos x="0" y="0"/>
          <wp:positionH relativeFrom="column">
            <wp:posOffset>4435298</wp:posOffset>
          </wp:positionH>
          <wp:positionV relativeFrom="paragraph">
            <wp:posOffset>-840826</wp:posOffset>
          </wp:positionV>
          <wp:extent cx="1369924" cy="853568"/>
          <wp:effectExtent l="0" t="0" r="1905" b="3810"/>
          <wp:wrapNone/>
          <wp:docPr id="20751608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9924" cy="853568"/>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59264" behindDoc="0" locked="0" layoutInCell="1" allowOverlap="1" wp14:anchorId="14EFDD5D" wp14:editId="21755E01">
          <wp:simplePos x="0" y="0"/>
          <wp:positionH relativeFrom="column">
            <wp:posOffset>3079953</wp:posOffset>
          </wp:positionH>
          <wp:positionV relativeFrom="paragraph">
            <wp:posOffset>8432</wp:posOffset>
          </wp:positionV>
          <wp:extent cx="2880360" cy="61722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t="25763" b="28162"/>
                  <a:stretch>
                    <a:fillRect/>
                  </a:stretch>
                </pic:blipFill>
                <pic:spPr bwMode="auto">
                  <a:xfrm>
                    <a:off x="0" y="0"/>
                    <a:ext cx="288036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61312" behindDoc="0" locked="0" layoutInCell="1" allowOverlap="1" wp14:anchorId="4E1B063F" wp14:editId="2391C0F3">
          <wp:simplePos x="0" y="0"/>
          <wp:positionH relativeFrom="column">
            <wp:posOffset>72390</wp:posOffset>
          </wp:positionH>
          <wp:positionV relativeFrom="paragraph">
            <wp:posOffset>-343535</wp:posOffset>
          </wp:positionV>
          <wp:extent cx="1601470" cy="829310"/>
          <wp:effectExtent l="0" t="0" r="0" b="8890"/>
          <wp:wrapTopAndBottom/>
          <wp:docPr id="1893603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1726" r="29783"/>
                  <a:stretch/>
                </pic:blipFill>
                <pic:spPr bwMode="auto">
                  <a:xfrm>
                    <a:off x="0" y="0"/>
                    <a:ext cx="1601470" cy="82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58240" behindDoc="0" locked="0" layoutInCell="1" allowOverlap="1" wp14:anchorId="3550C153" wp14:editId="4C25A651">
          <wp:simplePos x="0" y="0"/>
          <wp:positionH relativeFrom="column">
            <wp:posOffset>-139599</wp:posOffset>
          </wp:positionH>
          <wp:positionV relativeFrom="paragraph">
            <wp:posOffset>-858368</wp:posOffset>
          </wp:positionV>
          <wp:extent cx="1992772" cy="453542"/>
          <wp:effectExtent l="0" t="0" r="7620" b="3810"/>
          <wp:wrapNone/>
          <wp:docPr id="2249519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9981" b="28424"/>
                  <a:stretch/>
                </pic:blipFill>
                <pic:spPr bwMode="auto">
                  <a:xfrm>
                    <a:off x="0" y="0"/>
                    <a:ext cx="1992772" cy="4535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5">
      <w:rPr>
        <w:rFonts w:ascii="Arial" w:hAnsi="Arial"/>
        <w:noProof/>
      </w:rPr>
      <w:drawing>
        <wp:anchor distT="0" distB="0" distL="114300" distR="114300" simplePos="0" relativeHeight="251660288" behindDoc="0" locked="0" layoutInCell="1" allowOverlap="1" wp14:anchorId="00D9C7CF" wp14:editId="50E90F7B">
          <wp:simplePos x="0" y="0"/>
          <wp:positionH relativeFrom="column">
            <wp:posOffset>1973834</wp:posOffset>
          </wp:positionH>
          <wp:positionV relativeFrom="paragraph">
            <wp:posOffset>-920444</wp:posOffset>
          </wp:positionV>
          <wp:extent cx="907084" cy="1402593"/>
          <wp:effectExtent l="0" t="0" r="7620" b="7620"/>
          <wp:wrapNone/>
          <wp:docPr id="4916503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7084" cy="1402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032C7" w14:textId="77777777" w:rsidR="00911BC0" w:rsidRDefault="00911BC0">
    <w:pPr>
      <w:pStyle w:val="Kopfzeile"/>
      <w:tabs>
        <w:tab w:val="clear" w:pos="9071"/>
        <w:tab w:val="right" w:pos="9781"/>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0C4"/>
    <w:multiLevelType w:val="multilevel"/>
    <w:tmpl w:val="D312131A"/>
    <w:lvl w:ilvl="0">
      <w:start w:val="1"/>
      <w:numFmt w:val="decimal"/>
      <w:pStyle w:val="Ehrenberg"/>
      <w:lvlText w:val="%1."/>
      <w:lvlJc w:val="left"/>
      <w:pPr>
        <w:tabs>
          <w:tab w:val="num" w:pos="644"/>
        </w:tabs>
        <w:ind w:left="644" w:hanging="720"/>
      </w:pPr>
    </w:lvl>
    <w:lvl w:ilvl="1">
      <w:start w:val="1"/>
      <w:numFmt w:val="decimal"/>
      <w:lvlText w:val="%2."/>
      <w:lvlJc w:val="left"/>
      <w:pPr>
        <w:tabs>
          <w:tab w:val="num" w:pos="1364"/>
        </w:tabs>
        <w:ind w:left="1364" w:hanging="720"/>
      </w:pPr>
    </w:lvl>
    <w:lvl w:ilvl="2">
      <w:start w:val="1"/>
      <w:numFmt w:val="decimal"/>
      <w:lvlText w:val="%3."/>
      <w:lvlJc w:val="left"/>
      <w:pPr>
        <w:tabs>
          <w:tab w:val="num" w:pos="2084"/>
        </w:tabs>
        <w:ind w:left="2084" w:hanging="720"/>
      </w:pPr>
    </w:lvl>
    <w:lvl w:ilvl="3">
      <w:start w:val="1"/>
      <w:numFmt w:val="decimal"/>
      <w:lvlText w:val="%4."/>
      <w:lvlJc w:val="left"/>
      <w:pPr>
        <w:tabs>
          <w:tab w:val="num" w:pos="2804"/>
        </w:tabs>
        <w:ind w:left="2804" w:hanging="720"/>
      </w:pPr>
    </w:lvl>
    <w:lvl w:ilvl="4">
      <w:start w:val="1"/>
      <w:numFmt w:val="decimal"/>
      <w:lvlText w:val="%5."/>
      <w:lvlJc w:val="left"/>
      <w:pPr>
        <w:tabs>
          <w:tab w:val="num" w:pos="3524"/>
        </w:tabs>
        <w:ind w:left="3524" w:hanging="720"/>
      </w:pPr>
    </w:lvl>
    <w:lvl w:ilvl="5">
      <w:start w:val="1"/>
      <w:numFmt w:val="decimal"/>
      <w:lvlText w:val="%6."/>
      <w:lvlJc w:val="left"/>
      <w:pPr>
        <w:tabs>
          <w:tab w:val="num" w:pos="4244"/>
        </w:tabs>
        <w:ind w:left="4244" w:hanging="720"/>
      </w:pPr>
    </w:lvl>
    <w:lvl w:ilvl="6">
      <w:start w:val="1"/>
      <w:numFmt w:val="decimal"/>
      <w:lvlText w:val="%7."/>
      <w:lvlJc w:val="left"/>
      <w:pPr>
        <w:tabs>
          <w:tab w:val="num" w:pos="4964"/>
        </w:tabs>
        <w:ind w:left="4964" w:hanging="720"/>
      </w:pPr>
    </w:lvl>
    <w:lvl w:ilvl="7">
      <w:start w:val="1"/>
      <w:numFmt w:val="decimal"/>
      <w:lvlText w:val="%8."/>
      <w:lvlJc w:val="left"/>
      <w:pPr>
        <w:tabs>
          <w:tab w:val="num" w:pos="5684"/>
        </w:tabs>
        <w:ind w:left="5684" w:hanging="720"/>
      </w:pPr>
    </w:lvl>
    <w:lvl w:ilvl="8">
      <w:start w:val="1"/>
      <w:numFmt w:val="decimal"/>
      <w:lvlText w:val="%9."/>
      <w:lvlJc w:val="left"/>
      <w:pPr>
        <w:tabs>
          <w:tab w:val="num" w:pos="6404"/>
        </w:tabs>
        <w:ind w:left="6404" w:hanging="720"/>
      </w:pPr>
    </w:lvl>
  </w:abstractNum>
  <w:abstractNum w:abstractNumId="1" w15:restartNumberingAfterBreak="0">
    <w:nsid w:val="0C902C6D"/>
    <w:multiLevelType w:val="multilevel"/>
    <w:tmpl w:val="12EC35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A17729"/>
    <w:multiLevelType w:val="multilevel"/>
    <w:tmpl w:val="12EC35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84330A"/>
    <w:multiLevelType w:val="hybridMultilevel"/>
    <w:tmpl w:val="E13070A0"/>
    <w:lvl w:ilvl="0" w:tplc="25EADB90">
      <w:start w:val="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630F7F"/>
    <w:multiLevelType w:val="hybridMultilevel"/>
    <w:tmpl w:val="BA74A02A"/>
    <w:lvl w:ilvl="0" w:tplc="84A2BF54">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FF50B5"/>
    <w:multiLevelType w:val="hybridMultilevel"/>
    <w:tmpl w:val="7C962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4B2D55"/>
    <w:multiLevelType w:val="hybridMultilevel"/>
    <w:tmpl w:val="1ADE0F0A"/>
    <w:lvl w:ilvl="0" w:tplc="10A85E4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66562C"/>
    <w:multiLevelType w:val="hybridMultilevel"/>
    <w:tmpl w:val="CFB4B302"/>
    <w:lvl w:ilvl="0" w:tplc="FD7C030A">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49130B"/>
    <w:multiLevelType w:val="hybridMultilevel"/>
    <w:tmpl w:val="1ADE0F0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5E5159"/>
    <w:multiLevelType w:val="hybridMultilevel"/>
    <w:tmpl w:val="1ADE0F0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CC41DD"/>
    <w:multiLevelType w:val="hybridMultilevel"/>
    <w:tmpl w:val="EB0A5D7E"/>
    <w:lvl w:ilvl="0" w:tplc="84A2BF5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BD04BB"/>
    <w:multiLevelType w:val="multilevel"/>
    <w:tmpl w:val="19E6F060"/>
    <w:lvl w:ilvl="0">
      <w:start w:val="1"/>
      <w:numFmt w:val="decimal"/>
      <w:pStyle w:val="berschrift1"/>
      <w:suff w:val="space"/>
      <w:lvlText w:val="%1"/>
      <w:lvlJc w:val="left"/>
      <w:pPr>
        <w:ind w:left="2836" w:firstLine="0"/>
      </w:pPr>
      <w:rPr>
        <w:b/>
        <w:bCs/>
      </w:r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864" w:hanging="864"/>
      </w:pPr>
    </w:lvl>
    <w:lvl w:ilvl="4">
      <w:start w:val="1"/>
      <w:numFmt w:val="decimal"/>
      <w:pStyle w:val="berschrift5"/>
      <w:suff w:val="space"/>
      <w:lvlText w:val="%1.%2.%3.%4.%5"/>
      <w:lvlJc w:val="left"/>
      <w:pPr>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1A35D9A"/>
    <w:multiLevelType w:val="multilevel"/>
    <w:tmpl w:val="4B10F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9555303">
    <w:abstractNumId w:val="11"/>
  </w:num>
  <w:num w:numId="2" w16cid:durableId="374086918">
    <w:abstractNumId w:val="0"/>
  </w:num>
  <w:num w:numId="3" w16cid:durableId="528379250">
    <w:abstractNumId w:val="7"/>
  </w:num>
  <w:num w:numId="4" w16cid:durableId="330720942">
    <w:abstractNumId w:val="2"/>
  </w:num>
  <w:num w:numId="5" w16cid:durableId="231695519">
    <w:abstractNumId w:val="1"/>
  </w:num>
  <w:num w:numId="6" w16cid:durableId="1475753850">
    <w:abstractNumId w:val="6"/>
  </w:num>
  <w:num w:numId="7" w16cid:durableId="328488612">
    <w:abstractNumId w:val="9"/>
  </w:num>
  <w:num w:numId="8" w16cid:durableId="579145119">
    <w:abstractNumId w:val="5"/>
  </w:num>
  <w:num w:numId="9" w16cid:durableId="1530606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893918">
    <w:abstractNumId w:val="8"/>
  </w:num>
  <w:num w:numId="11" w16cid:durableId="1238248944">
    <w:abstractNumId w:val="3"/>
  </w:num>
  <w:num w:numId="12" w16cid:durableId="1883637689">
    <w:abstractNumId w:val="11"/>
  </w:num>
  <w:num w:numId="13" w16cid:durableId="1565337611">
    <w:abstractNumId w:val="11"/>
  </w:num>
  <w:num w:numId="14" w16cid:durableId="1377005068">
    <w:abstractNumId w:val="11"/>
  </w:num>
  <w:num w:numId="15" w16cid:durableId="1751921827">
    <w:abstractNumId w:val="11"/>
  </w:num>
  <w:num w:numId="16" w16cid:durableId="1451320907">
    <w:abstractNumId w:val="11"/>
  </w:num>
  <w:num w:numId="17" w16cid:durableId="1121455979">
    <w:abstractNumId w:val="11"/>
  </w:num>
  <w:num w:numId="18" w16cid:durableId="1225947440">
    <w:abstractNumId w:val="11"/>
  </w:num>
  <w:num w:numId="19" w16cid:durableId="320619360">
    <w:abstractNumId w:val="11"/>
  </w:num>
  <w:num w:numId="20" w16cid:durableId="1277129834">
    <w:abstractNumId w:val="4"/>
  </w:num>
  <w:num w:numId="21" w16cid:durableId="2032412940">
    <w:abstractNumId w:val="10"/>
  </w:num>
  <w:num w:numId="22" w16cid:durableId="136105417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58"/>
    <w:rsid w:val="00000FFD"/>
    <w:rsid w:val="0000163D"/>
    <w:rsid w:val="000019B5"/>
    <w:rsid w:val="000022FB"/>
    <w:rsid w:val="0000280D"/>
    <w:rsid w:val="00002B19"/>
    <w:rsid w:val="000036DD"/>
    <w:rsid w:val="00003B9E"/>
    <w:rsid w:val="000053B3"/>
    <w:rsid w:val="00005A96"/>
    <w:rsid w:val="00005E16"/>
    <w:rsid w:val="000068E0"/>
    <w:rsid w:val="00006E79"/>
    <w:rsid w:val="00007BA8"/>
    <w:rsid w:val="00007FC7"/>
    <w:rsid w:val="000106D3"/>
    <w:rsid w:val="00010B2A"/>
    <w:rsid w:val="00010D08"/>
    <w:rsid w:val="0001119E"/>
    <w:rsid w:val="0001142A"/>
    <w:rsid w:val="00011D15"/>
    <w:rsid w:val="00011E50"/>
    <w:rsid w:val="00011E9F"/>
    <w:rsid w:val="00012418"/>
    <w:rsid w:val="000145AF"/>
    <w:rsid w:val="00014CEB"/>
    <w:rsid w:val="000151EE"/>
    <w:rsid w:val="00015B94"/>
    <w:rsid w:val="0001686A"/>
    <w:rsid w:val="00016C36"/>
    <w:rsid w:val="00017301"/>
    <w:rsid w:val="000177BC"/>
    <w:rsid w:val="00017858"/>
    <w:rsid w:val="0001796F"/>
    <w:rsid w:val="000200F3"/>
    <w:rsid w:val="0002090F"/>
    <w:rsid w:val="00021045"/>
    <w:rsid w:val="00021060"/>
    <w:rsid w:val="00021A66"/>
    <w:rsid w:val="00022AFB"/>
    <w:rsid w:val="00022B3F"/>
    <w:rsid w:val="00022C31"/>
    <w:rsid w:val="00022C38"/>
    <w:rsid w:val="00022C3E"/>
    <w:rsid w:val="00022DAA"/>
    <w:rsid w:val="00023B27"/>
    <w:rsid w:val="00023C2D"/>
    <w:rsid w:val="00023E3F"/>
    <w:rsid w:val="000240EE"/>
    <w:rsid w:val="0002450A"/>
    <w:rsid w:val="00024AB9"/>
    <w:rsid w:val="00024E36"/>
    <w:rsid w:val="00025945"/>
    <w:rsid w:val="00025F98"/>
    <w:rsid w:val="000265B9"/>
    <w:rsid w:val="00027753"/>
    <w:rsid w:val="0003012F"/>
    <w:rsid w:val="0003081C"/>
    <w:rsid w:val="00030C0E"/>
    <w:rsid w:val="00030D51"/>
    <w:rsid w:val="000314D1"/>
    <w:rsid w:val="00032120"/>
    <w:rsid w:val="000328A7"/>
    <w:rsid w:val="000342AB"/>
    <w:rsid w:val="00034ECA"/>
    <w:rsid w:val="000368D2"/>
    <w:rsid w:val="00036987"/>
    <w:rsid w:val="00036BD1"/>
    <w:rsid w:val="00037443"/>
    <w:rsid w:val="00041027"/>
    <w:rsid w:val="00041764"/>
    <w:rsid w:val="00041A6D"/>
    <w:rsid w:val="00041D5B"/>
    <w:rsid w:val="00042174"/>
    <w:rsid w:val="0004221D"/>
    <w:rsid w:val="00044001"/>
    <w:rsid w:val="00044645"/>
    <w:rsid w:val="00045D07"/>
    <w:rsid w:val="00046307"/>
    <w:rsid w:val="00046714"/>
    <w:rsid w:val="00047B66"/>
    <w:rsid w:val="00047D5E"/>
    <w:rsid w:val="00052398"/>
    <w:rsid w:val="000524DB"/>
    <w:rsid w:val="00052547"/>
    <w:rsid w:val="000534D1"/>
    <w:rsid w:val="00054568"/>
    <w:rsid w:val="00055601"/>
    <w:rsid w:val="00055B0E"/>
    <w:rsid w:val="00055D75"/>
    <w:rsid w:val="00055EBA"/>
    <w:rsid w:val="0005613E"/>
    <w:rsid w:val="0005676A"/>
    <w:rsid w:val="000605A8"/>
    <w:rsid w:val="00060944"/>
    <w:rsid w:val="000615D7"/>
    <w:rsid w:val="000618BE"/>
    <w:rsid w:val="00061F43"/>
    <w:rsid w:val="00062F5E"/>
    <w:rsid w:val="00063322"/>
    <w:rsid w:val="000637DE"/>
    <w:rsid w:val="00064006"/>
    <w:rsid w:val="00064317"/>
    <w:rsid w:val="00064B03"/>
    <w:rsid w:val="00066082"/>
    <w:rsid w:val="00066B90"/>
    <w:rsid w:val="00067A94"/>
    <w:rsid w:val="00070003"/>
    <w:rsid w:val="000720B7"/>
    <w:rsid w:val="00072788"/>
    <w:rsid w:val="00072F93"/>
    <w:rsid w:val="000739C0"/>
    <w:rsid w:val="00073FAF"/>
    <w:rsid w:val="00074EED"/>
    <w:rsid w:val="000757C4"/>
    <w:rsid w:val="000762BC"/>
    <w:rsid w:val="000768DD"/>
    <w:rsid w:val="000775A7"/>
    <w:rsid w:val="00077667"/>
    <w:rsid w:val="00077C4C"/>
    <w:rsid w:val="00080639"/>
    <w:rsid w:val="00080EC4"/>
    <w:rsid w:val="00081257"/>
    <w:rsid w:val="0008187D"/>
    <w:rsid w:val="00081903"/>
    <w:rsid w:val="00081E34"/>
    <w:rsid w:val="00081FDE"/>
    <w:rsid w:val="0008220E"/>
    <w:rsid w:val="000836BC"/>
    <w:rsid w:val="000837FA"/>
    <w:rsid w:val="00084190"/>
    <w:rsid w:val="0008535D"/>
    <w:rsid w:val="000856FE"/>
    <w:rsid w:val="00085BCB"/>
    <w:rsid w:val="00085F69"/>
    <w:rsid w:val="00086015"/>
    <w:rsid w:val="00086C1D"/>
    <w:rsid w:val="000875EB"/>
    <w:rsid w:val="00087964"/>
    <w:rsid w:val="00087B35"/>
    <w:rsid w:val="00090484"/>
    <w:rsid w:val="00090E5E"/>
    <w:rsid w:val="000917A2"/>
    <w:rsid w:val="0009397D"/>
    <w:rsid w:val="00093D4A"/>
    <w:rsid w:val="0009461A"/>
    <w:rsid w:val="00094631"/>
    <w:rsid w:val="0009589B"/>
    <w:rsid w:val="000A03AB"/>
    <w:rsid w:val="000A1CC0"/>
    <w:rsid w:val="000A207D"/>
    <w:rsid w:val="000A2427"/>
    <w:rsid w:val="000A3872"/>
    <w:rsid w:val="000A4031"/>
    <w:rsid w:val="000A456A"/>
    <w:rsid w:val="000A4A2C"/>
    <w:rsid w:val="000A4F3B"/>
    <w:rsid w:val="000A4FB9"/>
    <w:rsid w:val="000A54E8"/>
    <w:rsid w:val="000B0E37"/>
    <w:rsid w:val="000B14A2"/>
    <w:rsid w:val="000B1C6E"/>
    <w:rsid w:val="000B2545"/>
    <w:rsid w:val="000B2C82"/>
    <w:rsid w:val="000B35E9"/>
    <w:rsid w:val="000B388B"/>
    <w:rsid w:val="000B4BF3"/>
    <w:rsid w:val="000B5498"/>
    <w:rsid w:val="000B5950"/>
    <w:rsid w:val="000B5B2A"/>
    <w:rsid w:val="000B5B6A"/>
    <w:rsid w:val="000B5BBE"/>
    <w:rsid w:val="000B5EE9"/>
    <w:rsid w:val="000B5EFE"/>
    <w:rsid w:val="000B5FA2"/>
    <w:rsid w:val="000B64E7"/>
    <w:rsid w:val="000B6A9B"/>
    <w:rsid w:val="000B6EA9"/>
    <w:rsid w:val="000B73BB"/>
    <w:rsid w:val="000B78D6"/>
    <w:rsid w:val="000C0225"/>
    <w:rsid w:val="000C08D8"/>
    <w:rsid w:val="000C1103"/>
    <w:rsid w:val="000C1411"/>
    <w:rsid w:val="000C1E78"/>
    <w:rsid w:val="000C30AA"/>
    <w:rsid w:val="000C32F3"/>
    <w:rsid w:val="000C4430"/>
    <w:rsid w:val="000C462D"/>
    <w:rsid w:val="000C464B"/>
    <w:rsid w:val="000C4C54"/>
    <w:rsid w:val="000C4CEF"/>
    <w:rsid w:val="000C503B"/>
    <w:rsid w:val="000C56F1"/>
    <w:rsid w:val="000C570E"/>
    <w:rsid w:val="000C62D6"/>
    <w:rsid w:val="000C705F"/>
    <w:rsid w:val="000C72E6"/>
    <w:rsid w:val="000C77A3"/>
    <w:rsid w:val="000C7ED1"/>
    <w:rsid w:val="000D036D"/>
    <w:rsid w:val="000D058E"/>
    <w:rsid w:val="000D107E"/>
    <w:rsid w:val="000D1505"/>
    <w:rsid w:val="000D16A2"/>
    <w:rsid w:val="000D1898"/>
    <w:rsid w:val="000D1AF2"/>
    <w:rsid w:val="000D204E"/>
    <w:rsid w:val="000D31BA"/>
    <w:rsid w:val="000D355A"/>
    <w:rsid w:val="000D39C8"/>
    <w:rsid w:val="000D3D2B"/>
    <w:rsid w:val="000D3E02"/>
    <w:rsid w:val="000D480E"/>
    <w:rsid w:val="000D51A0"/>
    <w:rsid w:val="000D5471"/>
    <w:rsid w:val="000D58BC"/>
    <w:rsid w:val="000D5B78"/>
    <w:rsid w:val="000D6A01"/>
    <w:rsid w:val="000D70B3"/>
    <w:rsid w:val="000D7184"/>
    <w:rsid w:val="000D71B6"/>
    <w:rsid w:val="000D7E14"/>
    <w:rsid w:val="000E06A6"/>
    <w:rsid w:val="000E091A"/>
    <w:rsid w:val="000E12ED"/>
    <w:rsid w:val="000E24CF"/>
    <w:rsid w:val="000E2ADE"/>
    <w:rsid w:val="000E33EB"/>
    <w:rsid w:val="000E3D60"/>
    <w:rsid w:val="000E4082"/>
    <w:rsid w:val="000E580E"/>
    <w:rsid w:val="000E607C"/>
    <w:rsid w:val="000E734A"/>
    <w:rsid w:val="000E73F3"/>
    <w:rsid w:val="000F0E0B"/>
    <w:rsid w:val="000F154D"/>
    <w:rsid w:val="000F19D7"/>
    <w:rsid w:val="000F2A02"/>
    <w:rsid w:val="000F32ED"/>
    <w:rsid w:val="000F338A"/>
    <w:rsid w:val="000F39E5"/>
    <w:rsid w:val="000F4213"/>
    <w:rsid w:val="000F5355"/>
    <w:rsid w:val="000F61F3"/>
    <w:rsid w:val="000F6C76"/>
    <w:rsid w:val="000F705B"/>
    <w:rsid w:val="001021B2"/>
    <w:rsid w:val="00102D45"/>
    <w:rsid w:val="00103380"/>
    <w:rsid w:val="001035CD"/>
    <w:rsid w:val="0010567F"/>
    <w:rsid w:val="00105BE6"/>
    <w:rsid w:val="0010698E"/>
    <w:rsid w:val="001069F1"/>
    <w:rsid w:val="00106C2F"/>
    <w:rsid w:val="001118BF"/>
    <w:rsid w:val="00111C62"/>
    <w:rsid w:val="00113241"/>
    <w:rsid w:val="0011366C"/>
    <w:rsid w:val="00113A06"/>
    <w:rsid w:val="00113D6C"/>
    <w:rsid w:val="00114A83"/>
    <w:rsid w:val="00114D8C"/>
    <w:rsid w:val="00114EAF"/>
    <w:rsid w:val="001156D9"/>
    <w:rsid w:val="00115A9E"/>
    <w:rsid w:val="001164CB"/>
    <w:rsid w:val="00116C5F"/>
    <w:rsid w:val="001172F7"/>
    <w:rsid w:val="00117F01"/>
    <w:rsid w:val="0012008C"/>
    <w:rsid w:val="00120162"/>
    <w:rsid w:val="0012023E"/>
    <w:rsid w:val="001211A5"/>
    <w:rsid w:val="0012120E"/>
    <w:rsid w:val="001217D0"/>
    <w:rsid w:val="00121897"/>
    <w:rsid w:val="001218AA"/>
    <w:rsid w:val="00122CAF"/>
    <w:rsid w:val="00123289"/>
    <w:rsid w:val="001236A7"/>
    <w:rsid w:val="00123BB0"/>
    <w:rsid w:val="00124300"/>
    <w:rsid w:val="00124B2D"/>
    <w:rsid w:val="00125194"/>
    <w:rsid w:val="00125523"/>
    <w:rsid w:val="0012583D"/>
    <w:rsid w:val="00126866"/>
    <w:rsid w:val="001269A4"/>
    <w:rsid w:val="0012721E"/>
    <w:rsid w:val="00127C2E"/>
    <w:rsid w:val="00130AAB"/>
    <w:rsid w:val="00130FFF"/>
    <w:rsid w:val="00131011"/>
    <w:rsid w:val="001316DF"/>
    <w:rsid w:val="001330FE"/>
    <w:rsid w:val="001333DE"/>
    <w:rsid w:val="00133F17"/>
    <w:rsid w:val="00134377"/>
    <w:rsid w:val="00134FCC"/>
    <w:rsid w:val="001358F2"/>
    <w:rsid w:val="00136073"/>
    <w:rsid w:val="00136572"/>
    <w:rsid w:val="00136E9B"/>
    <w:rsid w:val="00137AAD"/>
    <w:rsid w:val="0014214A"/>
    <w:rsid w:val="001424D9"/>
    <w:rsid w:val="00142517"/>
    <w:rsid w:val="00142C4A"/>
    <w:rsid w:val="00142D60"/>
    <w:rsid w:val="00143D54"/>
    <w:rsid w:val="00144E74"/>
    <w:rsid w:val="001459D0"/>
    <w:rsid w:val="001459EE"/>
    <w:rsid w:val="00145A0A"/>
    <w:rsid w:val="00145A2B"/>
    <w:rsid w:val="00145B12"/>
    <w:rsid w:val="00145E25"/>
    <w:rsid w:val="00146088"/>
    <w:rsid w:val="00146258"/>
    <w:rsid w:val="00146ACA"/>
    <w:rsid w:val="00146E3E"/>
    <w:rsid w:val="00147065"/>
    <w:rsid w:val="001470F0"/>
    <w:rsid w:val="001473AC"/>
    <w:rsid w:val="00147429"/>
    <w:rsid w:val="00147493"/>
    <w:rsid w:val="0014761F"/>
    <w:rsid w:val="0014764E"/>
    <w:rsid w:val="0014797E"/>
    <w:rsid w:val="00147B93"/>
    <w:rsid w:val="00147CD1"/>
    <w:rsid w:val="00147D4D"/>
    <w:rsid w:val="001503AC"/>
    <w:rsid w:val="00150758"/>
    <w:rsid w:val="00150D16"/>
    <w:rsid w:val="00150E01"/>
    <w:rsid w:val="00151A07"/>
    <w:rsid w:val="00152254"/>
    <w:rsid w:val="00152B6F"/>
    <w:rsid w:val="00152FD2"/>
    <w:rsid w:val="00153101"/>
    <w:rsid w:val="0015359D"/>
    <w:rsid w:val="00153E6C"/>
    <w:rsid w:val="0015446B"/>
    <w:rsid w:val="00154814"/>
    <w:rsid w:val="0015492F"/>
    <w:rsid w:val="00154B21"/>
    <w:rsid w:val="00157857"/>
    <w:rsid w:val="00157D45"/>
    <w:rsid w:val="00157D90"/>
    <w:rsid w:val="0016016F"/>
    <w:rsid w:val="00160AB5"/>
    <w:rsid w:val="001610CA"/>
    <w:rsid w:val="00161681"/>
    <w:rsid w:val="00161794"/>
    <w:rsid w:val="00161DB2"/>
    <w:rsid w:val="001625D2"/>
    <w:rsid w:val="001627D8"/>
    <w:rsid w:val="00162FCA"/>
    <w:rsid w:val="00163DED"/>
    <w:rsid w:val="0016480D"/>
    <w:rsid w:val="00165D47"/>
    <w:rsid w:val="00170164"/>
    <w:rsid w:val="00170C5A"/>
    <w:rsid w:val="0017128D"/>
    <w:rsid w:val="001712D1"/>
    <w:rsid w:val="00171C04"/>
    <w:rsid w:val="00172180"/>
    <w:rsid w:val="0017336B"/>
    <w:rsid w:val="00173B1B"/>
    <w:rsid w:val="00174942"/>
    <w:rsid w:val="00175703"/>
    <w:rsid w:val="00175D12"/>
    <w:rsid w:val="00176524"/>
    <w:rsid w:val="00176740"/>
    <w:rsid w:val="001768FD"/>
    <w:rsid w:val="0017698D"/>
    <w:rsid w:val="00176B63"/>
    <w:rsid w:val="00177135"/>
    <w:rsid w:val="00180458"/>
    <w:rsid w:val="00180734"/>
    <w:rsid w:val="00180A80"/>
    <w:rsid w:val="001816C1"/>
    <w:rsid w:val="00181E5E"/>
    <w:rsid w:val="00181F1A"/>
    <w:rsid w:val="0018211B"/>
    <w:rsid w:val="001822F7"/>
    <w:rsid w:val="0018315B"/>
    <w:rsid w:val="00183B06"/>
    <w:rsid w:val="001840FE"/>
    <w:rsid w:val="001844EF"/>
    <w:rsid w:val="00184D44"/>
    <w:rsid w:val="001853E0"/>
    <w:rsid w:val="001854CF"/>
    <w:rsid w:val="00185622"/>
    <w:rsid w:val="00186577"/>
    <w:rsid w:val="001872FF"/>
    <w:rsid w:val="00190C92"/>
    <w:rsid w:val="00191317"/>
    <w:rsid w:val="00191E71"/>
    <w:rsid w:val="001927FA"/>
    <w:rsid w:val="00193170"/>
    <w:rsid w:val="00193371"/>
    <w:rsid w:val="001948AA"/>
    <w:rsid w:val="0019553D"/>
    <w:rsid w:val="00196625"/>
    <w:rsid w:val="001974E5"/>
    <w:rsid w:val="00197574"/>
    <w:rsid w:val="0019763D"/>
    <w:rsid w:val="00197C45"/>
    <w:rsid w:val="001A0C6B"/>
    <w:rsid w:val="001A1BEA"/>
    <w:rsid w:val="001A1F68"/>
    <w:rsid w:val="001A2905"/>
    <w:rsid w:val="001A2DE2"/>
    <w:rsid w:val="001A2E57"/>
    <w:rsid w:val="001A3033"/>
    <w:rsid w:val="001A367E"/>
    <w:rsid w:val="001A3E5E"/>
    <w:rsid w:val="001A40B8"/>
    <w:rsid w:val="001A4DB2"/>
    <w:rsid w:val="001A4E94"/>
    <w:rsid w:val="001A5031"/>
    <w:rsid w:val="001A59D3"/>
    <w:rsid w:val="001A6A65"/>
    <w:rsid w:val="001A77E7"/>
    <w:rsid w:val="001B0283"/>
    <w:rsid w:val="001B03A8"/>
    <w:rsid w:val="001B1130"/>
    <w:rsid w:val="001B32E9"/>
    <w:rsid w:val="001B332F"/>
    <w:rsid w:val="001B39E1"/>
    <w:rsid w:val="001B3CE9"/>
    <w:rsid w:val="001B46B3"/>
    <w:rsid w:val="001B47B9"/>
    <w:rsid w:val="001B47F8"/>
    <w:rsid w:val="001B4975"/>
    <w:rsid w:val="001B4B74"/>
    <w:rsid w:val="001B4F05"/>
    <w:rsid w:val="001B52FD"/>
    <w:rsid w:val="001B6665"/>
    <w:rsid w:val="001B680D"/>
    <w:rsid w:val="001C06D9"/>
    <w:rsid w:val="001C0A56"/>
    <w:rsid w:val="001C0DD5"/>
    <w:rsid w:val="001C0F63"/>
    <w:rsid w:val="001C1D0D"/>
    <w:rsid w:val="001C1D5E"/>
    <w:rsid w:val="001C20F2"/>
    <w:rsid w:val="001C2BD8"/>
    <w:rsid w:val="001C31A0"/>
    <w:rsid w:val="001C3634"/>
    <w:rsid w:val="001C36ED"/>
    <w:rsid w:val="001C4433"/>
    <w:rsid w:val="001C4A79"/>
    <w:rsid w:val="001C6868"/>
    <w:rsid w:val="001C68CF"/>
    <w:rsid w:val="001C6F69"/>
    <w:rsid w:val="001C7883"/>
    <w:rsid w:val="001C7E2F"/>
    <w:rsid w:val="001D062E"/>
    <w:rsid w:val="001D0B09"/>
    <w:rsid w:val="001D140B"/>
    <w:rsid w:val="001D146B"/>
    <w:rsid w:val="001D1619"/>
    <w:rsid w:val="001D1BFC"/>
    <w:rsid w:val="001D23AB"/>
    <w:rsid w:val="001D269E"/>
    <w:rsid w:val="001D2807"/>
    <w:rsid w:val="001D298C"/>
    <w:rsid w:val="001D2B0C"/>
    <w:rsid w:val="001D377D"/>
    <w:rsid w:val="001D3DBF"/>
    <w:rsid w:val="001D460B"/>
    <w:rsid w:val="001D46F6"/>
    <w:rsid w:val="001D5D08"/>
    <w:rsid w:val="001D62B8"/>
    <w:rsid w:val="001E049A"/>
    <w:rsid w:val="001E169C"/>
    <w:rsid w:val="001E1B24"/>
    <w:rsid w:val="001E1F9F"/>
    <w:rsid w:val="001E2526"/>
    <w:rsid w:val="001E2761"/>
    <w:rsid w:val="001E321B"/>
    <w:rsid w:val="001E3B3E"/>
    <w:rsid w:val="001E3BB3"/>
    <w:rsid w:val="001E3E67"/>
    <w:rsid w:val="001E418E"/>
    <w:rsid w:val="001E422D"/>
    <w:rsid w:val="001E46E4"/>
    <w:rsid w:val="001E508C"/>
    <w:rsid w:val="001E5E10"/>
    <w:rsid w:val="001E629C"/>
    <w:rsid w:val="001E7225"/>
    <w:rsid w:val="001E769F"/>
    <w:rsid w:val="001F20AC"/>
    <w:rsid w:val="001F2218"/>
    <w:rsid w:val="001F2710"/>
    <w:rsid w:val="001F2D9B"/>
    <w:rsid w:val="001F2EB5"/>
    <w:rsid w:val="001F3E8E"/>
    <w:rsid w:val="001F4515"/>
    <w:rsid w:val="001F4D33"/>
    <w:rsid w:val="001F4F1D"/>
    <w:rsid w:val="001F51A7"/>
    <w:rsid w:val="001F56DE"/>
    <w:rsid w:val="001F5D3A"/>
    <w:rsid w:val="001F5E36"/>
    <w:rsid w:val="001F62C8"/>
    <w:rsid w:val="001F6E2C"/>
    <w:rsid w:val="001F7339"/>
    <w:rsid w:val="001F75FD"/>
    <w:rsid w:val="002002C2"/>
    <w:rsid w:val="002018A4"/>
    <w:rsid w:val="00201AFE"/>
    <w:rsid w:val="00201CD3"/>
    <w:rsid w:val="00202BDC"/>
    <w:rsid w:val="00202CFE"/>
    <w:rsid w:val="0020303C"/>
    <w:rsid w:val="002030A0"/>
    <w:rsid w:val="0020368F"/>
    <w:rsid w:val="00203F92"/>
    <w:rsid w:val="002051A9"/>
    <w:rsid w:val="00205462"/>
    <w:rsid w:val="002056E7"/>
    <w:rsid w:val="002057B1"/>
    <w:rsid w:val="00205954"/>
    <w:rsid w:val="00205FEA"/>
    <w:rsid w:val="00207138"/>
    <w:rsid w:val="002076A6"/>
    <w:rsid w:val="002112AC"/>
    <w:rsid w:val="00211C9B"/>
    <w:rsid w:val="002131AB"/>
    <w:rsid w:val="0021412F"/>
    <w:rsid w:val="00215E1A"/>
    <w:rsid w:val="00216387"/>
    <w:rsid w:val="00216C37"/>
    <w:rsid w:val="00216D76"/>
    <w:rsid w:val="00216F35"/>
    <w:rsid w:val="002173A5"/>
    <w:rsid w:val="00217741"/>
    <w:rsid w:val="0022011F"/>
    <w:rsid w:val="002204B6"/>
    <w:rsid w:val="002204F6"/>
    <w:rsid w:val="00221B2C"/>
    <w:rsid w:val="00222FB1"/>
    <w:rsid w:val="002236DF"/>
    <w:rsid w:val="002236EE"/>
    <w:rsid w:val="002241D5"/>
    <w:rsid w:val="00224278"/>
    <w:rsid w:val="00225C75"/>
    <w:rsid w:val="002263A2"/>
    <w:rsid w:val="00226521"/>
    <w:rsid w:val="002276BD"/>
    <w:rsid w:val="002311A7"/>
    <w:rsid w:val="002313CE"/>
    <w:rsid w:val="002313E5"/>
    <w:rsid w:val="00231CFF"/>
    <w:rsid w:val="00232BA3"/>
    <w:rsid w:val="0023363C"/>
    <w:rsid w:val="00233884"/>
    <w:rsid w:val="00233CCD"/>
    <w:rsid w:val="0023454F"/>
    <w:rsid w:val="00236753"/>
    <w:rsid w:val="00236FAE"/>
    <w:rsid w:val="0023736D"/>
    <w:rsid w:val="00237435"/>
    <w:rsid w:val="00237A48"/>
    <w:rsid w:val="002413E4"/>
    <w:rsid w:val="002416E8"/>
    <w:rsid w:val="00241E6B"/>
    <w:rsid w:val="00241EEE"/>
    <w:rsid w:val="002420C2"/>
    <w:rsid w:val="00242964"/>
    <w:rsid w:val="00242B4C"/>
    <w:rsid w:val="00243AEE"/>
    <w:rsid w:val="00243D32"/>
    <w:rsid w:val="00244675"/>
    <w:rsid w:val="00244F92"/>
    <w:rsid w:val="00245A70"/>
    <w:rsid w:val="00245D90"/>
    <w:rsid w:val="00246546"/>
    <w:rsid w:val="002467F9"/>
    <w:rsid w:val="00246CF7"/>
    <w:rsid w:val="00247786"/>
    <w:rsid w:val="00252182"/>
    <w:rsid w:val="0025261C"/>
    <w:rsid w:val="002529BA"/>
    <w:rsid w:val="00252CE4"/>
    <w:rsid w:val="00253664"/>
    <w:rsid w:val="00253F10"/>
    <w:rsid w:val="00254B69"/>
    <w:rsid w:val="0025520B"/>
    <w:rsid w:val="00255237"/>
    <w:rsid w:val="0025530A"/>
    <w:rsid w:val="002553A0"/>
    <w:rsid w:val="0025640C"/>
    <w:rsid w:val="002602D5"/>
    <w:rsid w:val="002610A7"/>
    <w:rsid w:val="002614D0"/>
    <w:rsid w:val="0026153C"/>
    <w:rsid w:val="00262CD6"/>
    <w:rsid w:val="002630AE"/>
    <w:rsid w:val="002639F4"/>
    <w:rsid w:val="00263A83"/>
    <w:rsid w:val="00263DE1"/>
    <w:rsid w:val="00264A46"/>
    <w:rsid w:val="00264CEC"/>
    <w:rsid w:val="00265168"/>
    <w:rsid w:val="00265DBF"/>
    <w:rsid w:val="0026642B"/>
    <w:rsid w:val="0026651A"/>
    <w:rsid w:val="00267D2A"/>
    <w:rsid w:val="0027026A"/>
    <w:rsid w:val="00271016"/>
    <w:rsid w:val="002712E7"/>
    <w:rsid w:val="002720C3"/>
    <w:rsid w:val="00272B7D"/>
    <w:rsid w:val="00272D20"/>
    <w:rsid w:val="002735CD"/>
    <w:rsid w:val="00273EFA"/>
    <w:rsid w:val="002740DE"/>
    <w:rsid w:val="00274436"/>
    <w:rsid w:val="002745A8"/>
    <w:rsid w:val="00275B23"/>
    <w:rsid w:val="00275C26"/>
    <w:rsid w:val="00275D7E"/>
    <w:rsid w:val="0027647E"/>
    <w:rsid w:val="00277B9F"/>
    <w:rsid w:val="00277E0D"/>
    <w:rsid w:val="00277FE6"/>
    <w:rsid w:val="002806AE"/>
    <w:rsid w:val="002834A6"/>
    <w:rsid w:val="00283657"/>
    <w:rsid w:val="00283A8A"/>
    <w:rsid w:val="00283E73"/>
    <w:rsid w:val="0028425C"/>
    <w:rsid w:val="00284688"/>
    <w:rsid w:val="00285068"/>
    <w:rsid w:val="00286052"/>
    <w:rsid w:val="002866B9"/>
    <w:rsid w:val="002872C3"/>
    <w:rsid w:val="0028776C"/>
    <w:rsid w:val="00290464"/>
    <w:rsid w:val="0029049D"/>
    <w:rsid w:val="00290DBF"/>
    <w:rsid w:val="00290E43"/>
    <w:rsid w:val="00290FF4"/>
    <w:rsid w:val="00291334"/>
    <w:rsid w:val="002914C1"/>
    <w:rsid w:val="00291A8B"/>
    <w:rsid w:val="00291AC9"/>
    <w:rsid w:val="00291CA1"/>
    <w:rsid w:val="0029214E"/>
    <w:rsid w:val="00294E19"/>
    <w:rsid w:val="00295B2E"/>
    <w:rsid w:val="00296091"/>
    <w:rsid w:val="00296B28"/>
    <w:rsid w:val="002A01F8"/>
    <w:rsid w:val="002A0F2E"/>
    <w:rsid w:val="002A2534"/>
    <w:rsid w:val="002A472E"/>
    <w:rsid w:val="002A5BD8"/>
    <w:rsid w:val="002A5D82"/>
    <w:rsid w:val="002A6447"/>
    <w:rsid w:val="002A657B"/>
    <w:rsid w:val="002A6722"/>
    <w:rsid w:val="002A781F"/>
    <w:rsid w:val="002A7C14"/>
    <w:rsid w:val="002B0032"/>
    <w:rsid w:val="002B0582"/>
    <w:rsid w:val="002B20D0"/>
    <w:rsid w:val="002B223C"/>
    <w:rsid w:val="002B2B75"/>
    <w:rsid w:val="002B3901"/>
    <w:rsid w:val="002B4240"/>
    <w:rsid w:val="002B4DFB"/>
    <w:rsid w:val="002B51EB"/>
    <w:rsid w:val="002B54AA"/>
    <w:rsid w:val="002B5593"/>
    <w:rsid w:val="002B6A16"/>
    <w:rsid w:val="002B70DE"/>
    <w:rsid w:val="002B7968"/>
    <w:rsid w:val="002B7ACD"/>
    <w:rsid w:val="002C0338"/>
    <w:rsid w:val="002C148B"/>
    <w:rsid w:val="002C17BB"/>
    <w:rsid w:val="002C3C7C"/>
    <w:rsid w:val="002C4832"/>
    <w:rsid w:val="002C54AF"/>
    <w:rsid w:val="002C6206"/>
    <w:rsid w:val="002C624C"/>
    <w:rsid w:val="002C7A40"/>
    <w:rsid w:val="002C7B21"/>
    <w:rsid w:val="002D0042"/>
    <w:rsid w:val="002D08AF"/>
    <w:rsid w:val="002D0C43"/>
    <w:rsid w:val="002D0DCA"/>
    <w:rsid w:val="002D10B3"/>
    <w:rsid w:val="002D21CA"/>
    <w:rsid w:val="002D28BB"/>
    <w:rsid w:val="002D2E43"/>
    <w:rsid w:val="002D2E7F"/>
    <w:rsid w:val="002D338B"/>
    <w:rsid w:val="002D3FFC"/>
    <w:rsid w:val="002D5656"/>
    <w:rsid w:val="002D5D06"/>
    <w:rsid w:val="002D5EBA"/>
    <w:rsid w:val="002D5F61"/>
    <w:rsid w:val="002D66AA"/>
    <w:rsid w:val="002D6D13"/>
    <w:rsid w:val="002D7052"/>
    <w:rsid w:val="002E0191"/>
    <w:rsid w:val="002E01C8"/>
    <w:rsid w:val="002E18FF"/>
    <w:rsid w:val="002E2B1B"/>
    <w:rsid w:val="002E30BA"/>
    <w:rsid w:val="002E3481"/>
    <w:rsid w:val="002E3BE6"/>
    <w:rsid w:val="002E468E"/>
    <w:rsid w:val="002E4A50"/>
    <w:rsid w:val="002E511E"/>
    <w:rsid w:val="002E5393"/>
    <w:rsid w:val="002E5909"/>
    <w:rsid w:val="002E60FF"/>
    <w:rsid w:val="002E70A3"/>
    <w:rsid w:val="002E7511"/>
    <w:rsid w:val="002E776C"/>
    <w:rsid w:val="002E78D4"/>
    <w:rsid w:val="002E7B8D"/>
    <w:rsid w:val="002F062A"/>
    <w:rsid w:val="002F0CD7"/>
    <w:rsid w:val="002F1201"/>
    <w:rsid w:val="002F27D2"/>
    <w:rsid w:val="002F2F34"/>
    <w:rsid w:val="002F3EB2"/>
    <w:rsid w:val="002F5298"/>
    <w:rsid w:val="002F6180"/>
    <w:rsid w:val="002F6D3D"/>
    <w:rsid w:val="002F7C74"/>
    <w:rsid w:val="00300423"/>
    <w:rsid w:val="0030060E"/>
    <w:rsid w:val="00300AB6"/>
    <w:rsid w:val="00301AB4"/>
    <w:rsid w:val="00302258"/>
    <w:rsid w:val="00303FD6"/>
    <w:rsid w:val="00303FE2"/>
    <w:rsid w:val="00304479"/>
    <w:rsid w:val="00304500"/>
    <w:rsid w:val="003046E3"/>
    <w:rsid w:val="00305267"/>
    <w:rsid w:val="00306D52"/>
    <w:rsid w:val="00306DE1"/>
    <w:rsid w:val="00307DA7"/>
    <w:rsid w:val="00307EC8"/>
    <w:rsid w:val="003108CD"/>
    <w:rsid w:val="0031167C"/>
    <w:rsid w:val="0031234A"/>
    <w:rsid w:val="003129EE"/>
    <w:rsid w:val="00312B03"/>
    <w:rsid w:val="00313B76"/>
    <w:rsid w:val="00313C06"/>
    <w:rsid w:val="00313ECC"/>
    <w:rsid w:val="003141B0"/>
    <w:rsid w:val="00314665"/>
    <w:rsid w:val="003146CE"/>
    <w:rsid w:val="0031576A"/>
    <w:rsid w:val="00315C5A"/>
    <w:rsid w:val="00316109"/>
    <w:rsid w:val="003167DE"/>
    <w:rsid w:val="0031744C"/>
    <w:rsid w:val="003177C3"/>
    <w:rsid w:val="00317AD7"/>
    <w:rsid w:val="00317B61"/>
    <w:rsid w:val="00320086"/>
    <w:rsid w:val="00320267"/>
    <w:rsid w:val="003203E1"/>
    <w:rsid w:val="00320A21"/>
    <w:rsid w:val="003224B0"/>
    <w:rsid w:val="003224D8"/>
    <w:rsid w:val="00322978"/>
    <w:rsid w:val="00322C29"/>
    <w:rsid w:val="00324062"/>
    <w:rsid w:val="00325EC6"/>
    <w:rsid w:val="0032608C"/>
    <w:rsid w:val="00326722"/>
    <w:rsid w:val="00326C9A"/>
    <w:rsid w:val="00327019"/>
    <w:rsid w:val="003305C0"/>
    <w:rsid w:val="00330945"/>
    <w:rsid w:val="00331075"/>
    <w:rsid w:val="00331182"/>
    <w:rsid w:val="003315A9"/>
    <w:rsid w:val="00331A76"/>
    <w:rsid w:val="00331F84"/>
    <w:rsid w:val="00332708"/>
    <w:rsid w:val="0033289E"/>
    <w:rsid w:val="00332F2D"/>
    <w:rsid w:val="00333014"/>
    <w:rsid w:val="00333DBD"/>
    <w:rsid w:val="00334210"/>
    <w:rsid w:val="00334605"/>
    <w:rsid w:val="0033500A"/>
    <w:rsid w:val="00335BF0"/>
    <w:rsid w:val="00335ED3"/>
    <w:rsid w:val="00337FF9"/>
    <w:rsid w:val="00340042"/>
    <w:rsid w:val="0034153A"/>
    <w:rsid w:val="00341CFC"/>
    <w:rsid w:val="00341E4D"/>
    <w:rsid w:val="00342031"/>
    <w:rsid w:val="003420F4"/>
    <w:rsid w:val="00342698"/>
    <w:rsid w:val="003427FA"/>
    <w:rsid w:val="00344726"/>
    <w:rsid w:val="00346A58"/>
    <w:rsid w:val="00346A9E"/>
    <w:rsid w:val="00346FCF"/>
    <w:rsid w:val="00347482"/>
    <w:rsid w:val="003474F9"/>
    <w:rsid w:val="003509AC"/>
    <w:rsid w:val="00350CD5"/>
    <w:rsid w:val="003512C4"/>
    <w:rsid w:val="00351938"/>
    <w:rsid w:val="00351A60"/>
    <w:rsid w:val="00352006"/>
    <w:rsid w:val="00353791"/>
    <w:rsid w:val="0035556B"/>
    <w:rsid w:val="00355611"/>
    <w:rsid w:val="00355833"/>
    <w:rsid w:val="00355C56"/>
    <w:rsid w:val="00356B23"/>
    <w:rsid w:val="00356F61"/>
    <w:rsid w:val="00356FCF"/>
    <w:rsid w:val="003570D4"/>
    <w:rsid w:val="0035798D"/>
    <w:rsid w:val="00357F8B"/>
    <w:rsid w:val="00357FC8"/>
    <w:rsid w:val="003603A7"/>
    <w:rsid w:val="003605F2"/>
    <w:rsid w:val="003616A5"/>
    <w:rsid w:val="003628FE"/>
    <w:rsid w:val="00362AD3"/>
    <w:rsid w:val="00363C64"/>
    <w:rsid w:val="003641F3"/>
    <w:rsid w:val="0036462C"/>
    <w:rsid w:val="00364B5D"/>
    <w:rsid w:val="00365090"/>
    <w:rsid w:val="00365099"/>
    <w:rsid w:val="00365F0A"/>
    <w:rsid w:val="00366202"/>
    <w:rsid w:val="003662FB"/>
    <w:rsid w:val="00367327"/>
    <w:rsid w:val="003673C0"/>
    <w:rsid w:val="00367E39"/>
    <w:rsid w:val="003706AF"/>
    <w:rsid w:val="00370901"/>
    <w:rsid w:val="00370BC9"/>
    <w:rsid w:val="00370CA7"/>
    <w:rsid w:val="0037119A"/>
    <w:rsid w:val="00371A01"/>
    <w:rsid w:val="00371A1B"/>
    <w:rsid w:val="00371FE6"/>
    <w:rsid w:val="0037207C"/>
    <w:rsid w:val="00372D4E"/>
    <w:rsid w:val="00373F15"/>
    <w:rsid w:val="00375FED"/>
    <w:rsid w:val="00376163"/>
    <w:rsid w:val="00380ED2"/>
    <w:rsid w:val="00381A91"/>
    <w:rsid w:val="00382F53"/>
    <w:rsid w:val="00383CD9"/>
    <w:rsid w:val="003846DE"/>
    <w:rsid w:val="00384D12"/>
    <w:rsid w:val="00385913"/>
    <w:rsid w:val="00386B52"/>
    <w:rsid w:val="00387775"/>
    <w:rsid w:val="0039177D"/>
    <w:rsid w:val="00392D5A"/>
    <w:rsid w:val="00392EAA"/>
    <w:rsid w:val="00393203"/>
    <w:rsid w:val="00393801"/>
    <w:rsid w:val="003945BE"/>
    <w:rsid w:val="00394648"/>
    <w:rsid w:val="00394BD4"/>
    <w:rsid w:val="00394ED1"/>
    <w:rsid w:val="00395159"/>
    <w:rsid w:val="00395969"/>
    <w:rsid w:val="00396B0A"/>
    <w:rsid w:val="003978A4"/>
    <w:rsid w:val="003A0835"/>
    <w:rsid w:val="003A0DA1"/>
    <w:rsid w:val="003A1954"/>
    <w:rsid w:val="003A1FB0"/>
    <w:rsid w:val="003A2480"/>
    <w:rsid w:val="003A260B"/>
    <w:rsid w:val="003A2837"/>
    <w:rsid w:val="003A295E"/>
    <w:rsid w:val="003A2CF0"/>
    <w:rsid w:val="003A3F8F"/>
    <w:rsid w:val="003A47CA"/>
    <w:rsid w:val="003A4CB1"/>
    <w:rsid w:val="003A4F64"/>
    <w:rsid w:val="003A5DD5"/>
    <w:rsid w:val="003A5DD9"/>
    <w:rsid w:val="003A62FB"/>
    <w:rsid w:val="003A6A60"/>
    <w:rsid w:val="003A6A8B"/>
    <w:rsid w:val="003A7448"/>
    <w:rsid w:val="003A7BEF"/>
    <w:rsid w:val="003B0B6C"/>
    <w:rsid w:val="003B1066"/>
    <w:rsid w:val="003B109E"/>
    <w:rsid w:val="003B1584"/>
    <w:rsid w:val="003B185D"/>
    <w:rsid w:val="003B22C4"/>
    <w:rsid w:val="003B296F"/>
    <w:rsid w:val="003B33B3"/>
    <w:rsid w:val="003B34DE"/>
    <w:rsid w:val="003B3591"/>
    <w:rsid w:val="003B3AE0"/>
    <w:rsid w:val="003B3F4E"/>
    <w:rsid w:val="003B4631"/>
    <w:rsid w:val="003B4853"/>
    <w:rsid w:val="003B57B9"/>
    <w:rsid w:val="003B5EA9"/>
    <w:rsid w:val="003B7390"/>
    <w:rsid w:val="003B7689"/>
    <w:rsid w:val="003B7B64"/>
    <w:rsid w:val="003C05AF"/>
    <w:rsid w:val="003C07D0"/>
    <w:rsid w:val="003C132B"/>
    <w:rsid w:val="003C144F"/>
    <w:rsid w:val="003C19B3"/>
    <w:rsid w:val="003C1B60"/>
    <w:rsid w:val="003C7904"/>
    <w:rsid w:val="003D0375"/>
    <w:rsid w:val="003D0443"/>
    <w:rsid w:val="003D07BC"/>
    <w:rsid w:val="003D0CA5"/>
    <w:rsid w:val="003D0E43"/>
    <w:rsid w:val="003D10FD"/>
    <w:rsid w:val="003D1238"/>
    <w:rsid w:val="003D1261"/>
    <w:rsid w:val="003D13A3"/>
    <w:rsid w:val="003D1609"/>
    <w:rsid w:val="003D1AA6"/>
    <w:rsid w:val="003D1CFC"/>
    <w:rsid w:val="003D22A6"/>
    <w:rsid w:val="003D3DA8"/>
    <w:rsid w:val="003D4B1E"/>
    <w:rsid w:val="003D615A"/>
    <w:rsid w:val="003D6C71"/>
    <w:rsid w:val="003D757A"/>
    <w:rsid w:val="003E0C3C"/>
    <w:rsid w:val="003E0D95"/>
    <w:rsid w:val="003E1845"/>
    <w:rsid w:val="003E1929"/>
    <w:rsid w:val="003E1A96"/>
    <w:rsid w:val="003E1BA2"/>
    <w:rsid w:val="003E1CE6"/>
    <w:rsid w:val="003E1F14"/>
    <w:rsid w:val="003E28A8"/>
    <w:rsid w:val="003E2E9B"/>
    <w:rsid w:val="003E2EDD"/>
    <w:rsid w:val="003E346D"/>
    <w:rsid w:val="003E3EB6"/>
    <w:rsid w:val="003E41CB"/>
    <w:rsid w:val="003E6641"/>
    <w:rsid w:val="003E6DB8"/>
    <w:rsid w:val="003E6DF3"/>
    <w:rsid w:val="003E7669"/>
    <w:rsid w:val="003E78DB"/>
    <w:rsid w:val="003E7E9E"/>
    <w:rsid w:val="003F0371"/>
    <w:rsid w:val="003F05B7"/>
    <w:rsid w:val="003F11F1"/>
    <w:rsid w:val="003F1C9D"/>
    <w:rsid w:val="003F1EDC"/>
    <w:rsid w:val="003F2504"/>
    <w:rsid w:val="003F26E0"/>
    <w:rsid w:val="003F3427"/>
    <w:rsid w:val="003F3977"/>
    <w:rsid w:val="003F4717"/>
    <w:rsid w:val="003F4D5F"/>
    <w:rsid w:val="003F4D71"/>
    <w:rsid w:val="003F53C8"/>
    <w:rsid w:val="003F58CF"/>
    <w:rsid w:val="003F7106"/>
    <w:rsid w:val="00401909"/>
    <w:rsid w:val="00401D80"/>
    <w:rsid w:val="004026B8"/>
    <w:rsid w:val="00402C51"/>
    <w:rsid w:val="004037C1"/>
    <w:rsid w:val="0040383A"/>
    <w:rsid w:val="00403885"/>
    <w:rsid w:val="00403B16"/>
    <w:rsid w:val="00403B6D"/>
    <w:rsid w:val="00403C93"/>
    <w:rsid w:val="00404697"/>
    <w:rsid w:val="00404C51"/>
    <w:rsid w:val="00406403"/>
    <w:rsid w:val="00410CDF"/>
    <w:rsid w:val="00411C85"/>
    <w:rsid w:val="0041231A"/>
    <w:rsid w:val="00412E6C"/>
    <w:rsid w:val="00415CBC"/>
    <w:rsid w:val="00416117"/>
    <w:rsid w:val="004203AA"/>
    <w:rsid w:val="00420666"/>
    <w:rsid w:val="00420B36"/>
    <w:rsid w:val="00422629"/>
    <w:rsid w:val="00422A4C"/>
    <w:rsid w:val="00422BB3"/>
    <w:rsid w:val="004235BF"/>
    <w:rsid w:val="004237DF"/>
    <w:rsid w:val="00424942"/>
    <w:rsid w:val="00424F5D"/>
    <w:rsid w:val="0042593A"/>
    <w:rsid w:val="00425FA7"/>
    <w:rsid w:val="004263F8"/>
    <w:rsid w:val="004265BE"/>
    <w:rsid w:val="00426AD5"/>
    <w:rsid w:val="00427929"/>
    <w:rsid w:val="00427D25"/>
    <w:rsid w:val="00430104"/>
    <w:rsid w:val="00430796"/>
    <w:rsid w:val="00430F5C"/>
    <w:rsid w:val="0043135A"/>
    <w:rsid w:val="00431427"/>
    <w:rsid w:val="00431637"/>
    <w:rsid w:val="004322B4"/>
    <w:rsid w:val="0043296B"/>
    <w:rsid w:val="00433509"/>
    <w:rsid w:val="00433CFD"/>
    <w:rsid w:val="00435091"/>
    <w:rsid w:val="00436E62"/>
    <w:rsid w:val="00437418"/>
    <w:rsid w:val="004375BC"/>
    <w:rsid w:val="00437737"/>
    <w:rsid w:val="00437C35"/>
    <w:rsid w:val="004400B0"/>
    <w:rsid w:val="00440B01"/>
    <w:rsid w:val="00440D06"/>
    <w:rsid w:val="004411C4"/>
    <w:rsid w:val="00441A9B"/>
    <w:rsid w:val="00441A9E"/>
    <w:rsid w:val="004428FB"/>
    <w:rsid w:val="004436C9"/>
    <w:rsid w:val="00443F7D"/>
    <w:rsid w:val="00445BE2"/>
    <w:rsid w:val="0044641F"/>
    <w:rsid w:val="00446FDA"/>
    <w:rsid w:val="0044718E"/>
    <w:rsid w:val="004477BC"/>
    <w:rsid w:val="00447DB7"/>
    <w:rsid w:val="00447E3B"/>
    <w:rsid w:val="00450038"/>
    <w:rsid w:val="0045024B"/>
    <w:rsid w:val="00450DD2"/>
    <w:rsid w:val="00451088"/>
    <w:rsid w:val="00451C92"/>
    <w:rsid w:val="00452432"/>
    <w:rsid w:val="0045290B"/>
    <w:rsid w:val="00452A3D"/>
    <w:rsid w:val="00453AA7"/>
    <w:rsid w:val="004545E2"/>
    <w:rsid w:val="00454F4A"/>
    <w:rsid w:val="00455C97"/>
    <w:rsid w:val="00456249"/>
    <w:rsid w:val="0045693B"/>
    <w:rsid w:val="004569B6"/>
    <w:rsid w:val="00456C1F"/>
    <w:rsid w:val="004571B0"/>
    <w:rsid w:val="00460642"/>
    <w:rsid w:val="00460E3C"/>
    <w:rsid w:val="00464487"/>
    <w:rsid w:val="00464C26"/>
    <w:rsid w:val="00464F62"/>
    <w:rsid w:val="004654E3"/>
    <w:rsid w:val="004662D3"/>
    <w:rsid w:val="00466611"/>
    <w:rsid w:val="004668DC"/>
    <w:rsid w:val="00466A3D"/>
    <w:rsid w:val="00466C0A"/>
    <w:rsid w:val="00467996"/>
    <w:rsid w:val="004702E6"/>
    <w:rsid w:val="00471607"/>
    <w:rsid w:val="004719E2"/>
    <w:rsid w:val="00471D86"/>
    <w:rsid w:val="00473953"/>
    <w:rsid w:val="00473B7F"/>
    <w:rsid w:val="00474132"/>
    <w:rsid w:val="00474327"/>
    <w:rsid w:val="0047443A"/>
    <w:rsid w:val="0047446B"/>
    <w:rsid w:val="00474787"/>
    <w:rsid w:val="00474859"/>
    <w:rsid w:val="0047499E"/>
    <w:rsid w:val="004750E8"/>
    <w:rsid w:val="00475A25"/>
    <w:rsid w:val="00475F02"/>
    <w:rsid w:val="00475F08"/>
    <w:rsid w:val="004779A0"/>
    <w:rsid w:val="00477BD4"/>
    <w:rsid w:val="00480B78"/>
    <w:rsid w:val="00482577"/>
    <w:rsid w:val="0048276F"/>
    <w:rsid w:val="00482C96"/>
    <w:rsid w:val="00483374"/>
    <w:rsid w:val="0048378E"/>
    <w:rsid w:val="0048415D"/>
    <w:rsid w:val="00484525"/>
    <w:rsid w:val="00484785"/>
    <w:rsid w:val="00484CE1"/>
    <w:rsid w:val="00484DDD"/>
    <w:rsid w:val="00485477"/>
    <w:rsid w:val="00486040"/>
    <w:rsid w:val="00486835"/>
    <w:rsid w:val="00486E9F"/>
    <w:rsid w:val="004874D3"/>
    <w:rsid w:val="004903E7"/>
    <w:rsid w:val="004906F9"/>
    <w:rsid w:val="00490A86"/>
    <w:rsid w:val="00490A99"/>
    <w:rsid w:val="00490E70"/>
    <w:rsid w:val="0049153E"/>
    <w:rsid w:val="004921DB"/>
    <w:rsid w:val="00492264"/>
    <w:rsid w:val="00492356"/>
    <w:rsid w:val="00493B9E"/>
    <w:rsid w:val="00493E53"/>
    <w:rsid w:val="00494A1A"/>
    <w:rsid w:val="00495286"/>
    <w:rsid w:val="004954C2"/>
    <w:rsid w:val="00495774"/>
    <w:rsid w:val="00495893"/>
    <w:rsid w:val="0049643E"/>
    <w:rsid w:val="00496A89"/>
    <w:rsid w:val="00496BC9"/>
    <w:rsid w:val="00496C1C"/>
    <w:rsid w:val="00496C9F"/>
    <w:rsid w:val="00497479"/>
    <w:rsid w:val="004A02E6"/>
    <w:rsid w:val="004A055C"/>
    <w:rsid w:val="004A0A03"/>
    <w:rsid w:val="004A1E52"/>
    <w:rsid w:val="004A33BF"/>
    <w:rsid w:val="004A4C09"/>
    <w:rsid w:val="004A539D"/>
    <w:rsid w:val="004A550D"/>
    <w:rsid w:val="004A6119"/>
    <w:rsid w:val="004A6BDE"/>
    <w:rsid w:val="004A6DDF"/>
    <w:rsid w:val="004A7281"/>
    <w:rsid w:val="004B014E"/>
    <w:rsid w:val="004B041D"/>
    <w:rsid w:val="004B14AF"/>
    <w:rsid w:val="004B1CB8"/>
    <w:rsid w:val="004B1F0F"/>
    <w:rsid w:val="004B221F"/>
    <w:rsid w:val="004B28F4"/>
    <w:rsid w:val="004B3923"/>
    <w:rsid w:val="004B5444"/>
    <w:rsid w:val="004B6311"/>
    <w:rsid w:val="004B6566"/>
    <w:rsid w:val="004C049F"/>
    <w:rsid w:val="004C0C11"/>
    <w:rsid w:val="004C0CBD"/>
    <w:rsid w:val="004C22A9"/>
    <w:rsid w:val="004C231B"/>
    <w:rsid w:val="004C3D9B"/>
    <w:rsid w:val="004C53C4"/>
    <w:rsid w:val="004C669B"/>
    <w:rsid w:val="004C7B8A"/>
    <w:rsid w:val="004D1024"/>
    <w:rsid w:val="004D16FB"/>
    <w:rsid w:val="004D2973"/>
    <w:rsid w:val="004D33E3"/>
    <w:rsid w:val="004D3F24"/>
    <w:rsid w:val="004D4C26"/>
    <w:rsid w:val="004D5C26"/>
    <w:rsid w:val="004D6443"/>
    <w:rsid w:val="004D70EF"/>
    <w:rsid w:val="004E2383"/>
    <w:rsid w:val="004E2408"/>
    <w:rsid w:val="004E3547"/>
    <w:rsid w:val="004E4B81"/>
    <w:rsid w:val="004E581F"/>
    <w:rsid w:val="004E6765"/>
    <w:rsid w:val="004E682C"/>
    <w:rsid w:val="004E715B"/>
    <w:rsid w:val="004E744E"/>
    <w:rsid w:val="004E7E9B"/>
    <w:rsid w:val="004F02EA"/>
    <w:rsid w:val="004F04A4"/>
    <w:rsid w:val="004F0FAE"/>
    <w:rsid w:val="004F1261"/>
    <w:rsid w:val="004F156D"/>
    <w:rsid w:val="004F2215"/>
    <w:rsid w:val="004F302C"/>
    <w:rsid w:val="004F32BB"/>
    <w:rsid w:val="004F34AB"/>
    <w:rsid w:val="004F3C51"/>
    <w:rsid w:val="004F3FC3"/>
    <w:rsid w:val="004F4A36"/>
    <w:rsid w:val="004F5097"/>
    <w:rsid w:val="004F552A"/>
    <w:rsid w:val="004F5C42"/>
    <w:rsid w:val="004F5D3B"/>
    <w:rsid w:val="004F660F"/>
    <w:rsid w:val="004F6CDE"/>
    <w:rsid w:val="004F7061"/>
    <w:rsid w:val="004F7202"/>
    <w:rsid w:val="005002E1"/>
    <w:rsid w:val="0050048C"/>
    <w:rsid w:val="00500F36"/>
    <w:rsid w:val="005019AD"/>
    <w:rsid w:val="00501CE2"/>
    <w:rsid w:val="0050235C"/>
    <w:rsid w:val="00502957"/>
    <w:rsid w:val="00503646"/>
    <w:rsid w:val="005039B4"/>
    <w:rsid w:val="00503BF0"/>
    <w:rsid w:val="0050405B"/>
    <w:rsid w:val="005043E9"/>
    <w:rsid w:val="005044DB"/>
    <w:rsid w:val="00505A2E"/>
    <w:rsid w:val="00505C82"/>
    <w:rsid w:val="005064BE"/>
    <w:rsid w:val="00507177"/>
    <w:rsid w:val="0050728F"/>
    <w:rsid w:val="00507C41"/>
    <w:rsid w:val="0051062F"/>
    <w:rsid w:val="005114F4"/>
    <w:rsid w:val="0051192A"/>
    <w:rsid w:val="00511FCB"/>
    <w:rsid w:val="005120E7"/>
    <w:rsid w:val="005122EC"/>
    <w:rsid w:val="005128A0"/>
    <w:rsid w:val="005137AF"/>
    <w:rsid w:val="005137F5"/>
    <w:rsid w:val="0051537B"/>
    <w:rsid w:val="0051586F"/>
    <w:rsid w:val="0051630A"/>
    <w:rsid w:val="00516F95"/>
    <w:rsid w:val="005174D5"/>
    <w:rsid w:val="00517547"/>
    <w:rsid w:val="005179DA"/>
    <w:rsid w:val="0052110A"/>
    <w:rsid w:val="005217CF"/>
    <w:rsid w:val="00521F28"/>
    <w:rsid w:val="00521F66"/>
    <w:rsid w:val="00522314"/>
    <w:rsid w:val="00522404"/>
    <w:rsid w:val="005225CC"/>
    <w:rsid w:val="005235FC"/>
    <w:rsid w:val="0052462A"/>
    <w:rsid w:val="00524975"/>
    <w:rsid w:val="00525467"/>
    <w:rsid w:val="0052594F"/>
    <w:rsid w:val="005274E1"/>
    <w:rsid w:val="00527FB3"/>
    <w:rsid w:val="0053076D"/>
    <w:rsid w:val="005307CD"/>
    <w:rsid w:val="0053106C"/>
    <w:rsid w:val="00531E8D"/>
    <w:rsid w:val="00532714"/>
    <w:rsid w:val="00532E26"/>
    <w:rsid w:val="00533B6F"/>
    <w:rsid w:val="00534490"/>
    <w:rsid w:val="0053473C"/>
    <w:rsid w:val="0053473E"/>
    <w:rsid w:val="00534DAA"/>
    <w:rsid w:val="005352EA"/>
    <w:rsid w:val="00535540"/>
    <w:rsid w:val="0053568E"/>
    <w:rsid w:val="005357B6"/>
    <w:rsid w:val="005359DD"/>
    <w:rsid w:val="00536B5D"/>
    <w:rsid w:val="00536F97"/>
    <w:rsid w:val="00537BE7"/>
    <w:rsid w:val="00540C60"/>
    <w:rsid w:val="00541E0B"/>
    <w:rsid w:val="00542CB2"/>
    <w:rsid w:val="0054369A"/>
    <w:rsid w:val="00543BD2"/>
    <w:rsid w:val="005442B0"/>
    <w:rsid w:val="0054461D"/>
    <w:rsid w:val="00544D56"/>
    <w:rsid w:val="005452E9"/>
    <w:rsid w:val="00546A52"/>
    <w:rsid w:val="00546C4E"/>
    <w:rsid w:val="00546D8C"/>
    <w:rsid w:val="00547288"/>
    <w:rsid w:val="00547605"/>
    <w:rsid w:val="00551AC5"/>
    <w:rsid w:val="0055260B"/>
    <w:rsid w:val="00553EE1"/>
    <w:rsid w:val="00554004"/>
    <w:rsid w:val="005562CE"/>
    <w:rsid w:val="00556FF8"/>
    <w:rsid w:val="00557C21"/>
    <w:rsid w:val="00561EC8"/>
    <w:rsid w:val="0056302C"/>
    <w:rsid w:val="005638BB"/>
    <w:rsid w:val="00563D72"/>
    <w:rsid w:val="00563FF3"/>
    <w:rsid w:val="0056517D"/>
    <w:rsid w:val="0056545C"/>
    <w:rsid w:val="00565C39"/>
    <w:rsid w:val="00565E51"/>
    <w:rsid w:val="00566272"/>
    <w:rsid w:val="00566F39"/>
    <w:rsid w:val="005675CD"/>
    <w:rsid w:val="00567950"/>
    <w:rsid w:val="00570224"/>
    <w:rsid w:val="005707D2"/>
    <w:rsid w:val="005707F3"/>
    <w:rsid w:val="0057190F"/>
    <w:rsid w:val="00571CBB"/>
    <w:rsid w:val="00573AA4"/>
    <w:rsid w:val="00573C75"/>
    <w:rsid w:val="00573F4D"/>
    <w:rsid w:val="005757B2"/>
    <w:rsid w:val="00575A87"/>
    <w:rsid w:val="0057632C"/>
    <w:rsid w:val="00576557"/>
    <w:rsid w:val="005767C6"/>
    <w:rsid w:val="00576A56"/>
    <w:rsid w:val="005771CC"/>
    <w:rsid w:val="005812DB"/>
    <w:rsid w:val="0058226D"/>
    <w:rsid w:val="005823E9"/>
    <w:rsid w:val="00582A62"/>
    <w:rsid w:val="00583CEA"/>
    <w:rsid w:val="00584A5F"/>
    <w:rsid w:val="005850F1"/>
    <w:rsid w:val="0058651E"/>
    <w:rsid w:val="00586666"/>
    <w:rsid w:val="005866E0"/>
    <w:rsid w:val="005868D3"/>
    <w:rsid w:val="00586BF8"/>
    <w:rsid w:val="00587147"/>
    <w:rsid w:val="005872B5"/>
    <w:rsid w:val="0058761F"/>
    <w:rsid w:val="00590319"/>
    <w:rsid w:val="00590600"/>
    <w:rsid w:val="00590B6B"/>
    <w:rsid w:val="00590E10"/>
    <w:rsid w:val="00591AAD"/>
    <w:rsid w:val="00593653"/>
    <w:rsid w:val="00594080"/>
    <w:rsid w:val="005940A0"/>
    <w:rsid w:val="00594B69"/>
    <w:rsid w:val="00595300"/>
    <w:rsid w:val="005965B3"/>
    <w:rsid w:val="00596CA8"/>
    <w:rsid w:val="00597221"/>
    <w:rsid w:val="005A0052"/>
    <w:rsid w:val="005A14D4"/>
    <w:rsid w:val="005A1616"/>
    <w:rsid w:val="005A16B9"/>
    <w:rsid w:val="005A174F"/>
    <w:rsid w:val="005A32AD"/>
    <w:rsid w:val="005A3B79"/>
    <w:rsid w:val="005A448E"/>
    <w:rsid w:val="005A4861"/>
    <w:rsid w:val="005A546A"/>
    <w:rsid w:val="005A5C0F"/>
    <w:rsid w:val="005A67B5"/>
    <w:rsid w:val="005A6A8E"/>
    <w:rsid w:val="005A7955"/>
    <w:rsid w:val="005B01DF"/>
    <w:rsid w:val="005B0A2E"/>
    <w:rsid w:val="005B0DE8"/>
    <w:rsid w:val="005B1068"/>
    <w:rsid w:val="005B1428"/>
    <w:rsid w:val="005B2556"/>
    <w:rsid w:val="005B2B33"/>
    <w:rsid w:val="005B4836"/>
    <w:rsid w:val="005B519F"/>
    <w:rsid w:val="005B5BBB"/>
    <w:rsid w:val="005B61A5"/>
    <w:rsid w:val="005B6466"/>
    <w:rsid w:val="005B6DAC"/>
    <w:rsid w:val="005B6ED3"/>
    <w:rsid w:val="005B7559"/>
    <w:rsid w:val="005C0859"/>
    <w:rsid w:val="005C0D89"/>
    <w:rsid w:val="005C32D0"/>
    <w:rsid w:val="005C36A3"/>
    <w:rsid w:val="005C37FE"/>
    <w:rsid w:val="005C4C2B"/>
    <w:rsid w:val="005C5C6B"/>
    <w:rsid w:val="005C6B60"/>
    <w:rsid w:val="005C7655"/>
    <w:rsid w:val="005C79F1"/>
    <w:rsid w:val="005D00A5"/>
    <w:rsid w:val="005D00D9"/>
    <w:rsid w:val="005D0918"/>
    <w:rsid w:val="005D0F2A"/>
    <w:rsid w:val="005D1592"/>
    <w:rsid w:val="005D35CE"/>
    <w:rsid w:val="005D371C"/>
    <w:rsid w:val="005D398D"/>
    <w:rsid w:val="005D39BB"/>
    <w:rsid w:val="005D3BF7"/>
    <w:rsid w:val="005D3D89"/>
    <w:rsid w:val="005D59CB"/>
    <w:rsid w:val="005D5B61"/>
    <w:rsid w:val="005D5E49"/>
    <w:rsid w:val="005D6138"/>
    <w:rsid w:val="005D6C41"/>
    <w:rsid w:val="005D6D54"/>
    <w:rsid w:val="005D73B9"/>
    <w:rsid w:val="005D771C"/>
    <w:rsid w:val="005D7951"/>
    <w:rsid w:val="005E002A"/>
    <w:rsid w:val="005E032B"/>
    <w:rsid w:val="005E264A"/>
    <w:rsid w:val="005E26F5"/>
    <w:rsid w:val="005E2B2E"/>
    <w:rsid w:val="005E473B"/>
    <w:rsid w:val="005E5C8F"/>
    <w:rsid w:val="005E5D0D"/>
    <w:rsid w:val="005E650A"/>
    <w:rsid w:val="005E69C2"/>
    <w:rsid w:val="005E6B16"/>
    <w:rsid w:val="005E71E7"/>
    <w:rsid w:val="005E74F3"/>
    <w:rsid w:val="005E7876"/>
    <w:rsid w:val="005E7886"/>
    <w:rsid w:val="005E7CF3"/>
    <w:rsid w:val="005F03FC"/>
    <w:rsid w:val="005F05BB"/>
    <w:rsid w:val="005F0AD9"/>
    <w:rsid w:val="005F130B"/>
    <w:rsid w:val="005F2C43"/>
    <w:rsid w:val="005F3098"/>
    <w:rsid w:val="005F30BC"/>
    <w:rsid w:val="005F3526"/>
    <w:rsid w:val="005F46E4"/>
    <w:rsid w:val="005F49BE"/>
    <w:rsid w:val="005F574E"/>
    <w:rsid w:val="005F5AEF"/>
    <w:rsid w:val="005F5D04"/>
    <w:rsid w:val="005F5EB4"/>
    <w:rsid w:val="005F6076"/>
    <w:rsid w:val="005F68E3"/>
    <w:rsid w:val="005F72AE"/>
    <w:rsid w:val="0060101E"/>
    <w:rsid w:val="0060106F"/>
    <w:rsid w:val="00601095"/>
    <w:rsid w:val="006010B8"/>
    <w:rsid w:val="00602A23"/>
    <w:rsid w:val="00602CA4"/>
    <w:rsid w:val="00604FCC"/>
    <w:rsid w:val="00605962"/>
    <w:rsid w:val="00606F22"/>
    <w:rsid w:val="006071A5"/>
    <w:rsid w:val="006073ED"/>
    <w:rsid w:val="00607554"/>
    <w:rsid w:val="00607F24"/>
    <w:rsid w:val="0061017A"/>
    <w:rsid w:val="0061075E"/>
    <w:rsid w:val="00610D87"/>
    <w:rsid w:val="00611193"/>
    <w:rsid w:val="006117FB"/>
    <w:rsid w:val="00611B9C"/>
    <w:rsid w:val="00611C46"/>
    <w:rsid w:val="006121D9"/>
    <w:rsid w:val="0061439F"/>
    <w:rsid w:val="00614703"/>
    <w:rsid w:val="00614F86"/>
    <w:rsid w:val="006162D9"/>
    <w:rsid w:val="00617844"/>
    <w:rsid w:val="0062029E"/>
    <w:rsid w:val="00620585"/>
    <w:rsid w:val="006206CA"/>
    <w:rsid w:val="006219D6"/>
    <w:rsid w:val="00621EA0"/>
    <w:rsid w:val="006227EA"/>
    <w:rsid w:val="00623158"/>
    <w:rsid w:val="0062345E"/>
    <w:rsid w:val="0062378D"/>
    <w:rsid w:val="00623FF1"/>
    <w:rsid w:val="00624079"/>
    <w:rsid w:val="00624101"/>
    <w:rsid w:val="006243F2"/>
    <w:rsid w:val="006249B1"/>
    <w:rsid w:val="006250B2"/>
    <w:rsid w:val="00625A64"/>
    <w:rsid w:val="00625DE0"/>
    <w:rsid w:val="00625E21"/>
    <w:rsid w:val="00626421"/>
    <w:rsid w:val="00626641"/>
    <w:rsid w:val="006267B2"/>
    <w:rsid w:val="006273BF"/>
    <w:rsid w:val="00627CB3"/>
    <w:rsid w:val="006314F0"/>
    <w:rsid w:val="00631553"/>
    <w:rsid w:val="0063173F"/>
    <w:rsid w:val="00632F8F"/>
    <w:rsid w:val="00633075"/>
    <w:rsid w:val="006338CF"/>
    <w:rsid w:val="00634491"/>
    <w:rsid w:val="0063496E"/>
    <w:rsid w:val="00634A0F"/>
    <w:rsid w:val="00634FC5"/>
    <w:rsid w:val="0063510A"/>
    <w:rsid w:val="00635965"/>
    <w:rsid w:val="00635F0D"/>
    <w:rsid w:val="006362F8"/>
    <w:rsid w:val="006364E0"/>
    <w:rsid w:val="00636646"/>
    <w:rsid w:val="00636E2C"/>
    <w:rsid w:val="00637A58"/>
    <w:rsid w:val="00637BBC"/>
    <w:rsid w:val="006401A4"/>
    <w:rsid w:val="00640338"/>
    <w:rsid w:val="006403B1"/>
    <w:rsid w:val="0064091A"/>
    <w:rsid w:val="00641D21"/>
    <w:rsid w:val="00642571"/>
    <w:rsid w:val="00642CE1"/>
    <w:rsid w:val="006433A6"/>
    <w:rsid w:val="00643BDC"/>
    <w:rsid w:val="006459BC"/>
    <w:rsid w:val="00646D31"/>
    <w:rsid w:val="006472E1"/>
    <w:rsid w:val="0064730F"/>
    <w:rsid w:val="0064751D"/>
    <w:rsid w:val="00647CF8"/>
    <w:rsid w:val="006508EB"/>
    <w:rsid w:val="006509C3"/>
    <w:rsid w:val="00650EB7"/>
    <w:rsid w:val="00652011"/>
    <w:rsid w:val="00652D95"/>
    <w:rsid w:val="006532E5"/>
    <w:rsid w:val="00653455"/>
    <w:rsid w:val="00653854"/>
    <w:rsid w:val="00653DBF"/>
    <w:rsid w:val="00653F58"/>
    <w:rsid w:val="00654608"/>
    <w:rsid w:val="00654C72"/>
    <w:rsid w:val="00655113"/>
    <w:rsid w:val="00655451"/>
    <w:rsid w:val="00655487"/>
    <w:rsid w:val="0065605F"/>
    <w:rsid w:val="0065621D"/>
    <w:rsid w:val="0065672A"/>
    <w:rsid w:val="00656DB7"/>
    <w:rsid w:val="00656FB2"/>
    <w:rsid w:val="006570C9"/>
    <w:rsid w:val="006575EC"/>
    <w:rsid w:val="006625BE"/>
    <w:rsid w:val="00663C1D"/>
    <w:rsid w:val="00664060"/>
    <w:rsid w:val="00664716"/>
    <w:rsid w:val="00665D30"/>
    <w:rsid w:val="00665FCB"/>
    <w:rsid w:val="006661B0"/>
    <w:rsid w:val="006661E6"/>
    <w:rsid w:val="00666474"/>
    <w:rsid w:val="0066767E"/>
    <w:rsid w:val="00671337"/>
    <w:rsid w:val="00671676"/>
    <w:rsid w:val="00671F00"/>
    <w:rsid w:val="00672003"/>
    <w:rsid w:val="006744FB"/>
    <w:rsid w:val="006750CC"/>
    <w:rsid w:val="00675406"/>
    <w:rsid w:val="0067555A"/>
    <w:rsid w:val="00675F52"/>
    <w:rsid w:val="00675FBD"/>
    <w:rsid w:val="00676841"/>
    <w:rsid w:val="00676A55"/>
    <w:rsid w:val="00676B12"/>
    <w:rsid w:val="00676D80"/>
    <w:rsid w:val="0067750B"/>
    <w:rsid w:val="00677E7F"/>
    <w:rsid w:val="00680055"/>
    <w:rsid w:val="00680BA8"/>
    <w:rsid w:val="00681B67"/>
    <w:rsid w:val="00681F64"/>
    <w:rsid w:val="0068423D"/>
    <w:rsid w:val="00685184"/>
    <w:rsid w:val="006855AD"/>
    <w:rsid w:val="0068576B"/>
    <w:rsid w:val="00687FF7"/>
    <w:rsid w:val="0069027E"/>
    <w:rsid w:val="006903F7"/>
    <w:rsid w:val="00690FA8"/>
    <w:rsid w:val="00691271"/>
    <w:rsid w:val="00691A3F"/>
    <w:rsid w:val="00692129"/>
    <w:rsid w:val="00692213"/>
    <w:rsid w:val="006934A1"/>
    <w:rsid w:val="00694005"/>
    <w:rsid w:val="0069427F"/>
    <w:rsid w:val="00694552"/>
    <w:rsid w:val="00694DE3"/>
    <w:rsid w:val="0069513E"/>
    <w:rsid w:val="00695F54"/>
    <w:rsid w:val="00696614"/>
    <w:rsid w:val="006969FE"/>
    <w:rsid w:val="006977BD"/>
    <w:rsid w:val="00697C6A"/>
    <w:rsid w:val="00697F92"/>
    <w:rsid w:val="006A02E9"/>
    <w:rsid w:val="006A08F3"/>
    <w:rsid w:val="006A0E6D"/>
    <w:rsid w:val="006A34F5"/>
    <w:rsid w:val="006A365C"/>
    <w:rsid w:val="006A511D"/>
    <w:rsid w:val="006A57F0"/>
    <w:rsid w:val="006A5FF6"/>
    <w:rsid w:val="006A6127"/>
    <w:rsid w:val="006A6171"/>
    <w:rsid w:val="006A6F6C"/>
    <w:rsid w:val="006A7FE9"/>
    <w:rsid w:val="006B0100"/>
    <w:rsid w:val="006B0296"/>
    <w:rsid w:val="006B0301"/>
    <w:rsid w:val="006B0CCC"/>
    <w:rsid w:val="006B14A7"/>
    <w:rsid w:val="006B234D"/>
    <w:rsid w:val="006B243D"/>
    <w:rsid w:val="006B24AC"/>
    <w:rsid w:val="006B2A46"/>
    <w:rsid w:val="006B36E3"/>
    <w:rsid w:val="006B4656"/>
    <w:rsid w:val="006B486C"/>
    <w:rsid w:val="006B4C1E"/>
    <w:rsid w:val="006B6F22"/>
    <w:rsid w:val="006B7A80"/>
    <w:rsid w:val="006C004B"/>
    <w:rsid w:val="006C02D3"/>
    <w:rsid w:val="006C0607"/>
    <w:rsid w:val="006C07F7"/>
    <w:rsid w:val="006C09EE"/>
    <w:rsid w:val="006C0B51"/>
    <w:rsid w:val="006C176F"/>
    <w:rsid w:val="006C23A1"/>
    <w:rsid w:val="006C28E4"/>
    <w:rsid w:val="006C45F6"/>
    <w:rsid w:val="006C4F94"/>
    <w:rsid w:val="006C5C1E"/>
    <w:rsid w:val="006C6295"/>
    <w:rsid w:val="006C640D"/>
    <w:rsid w:val="006C68E9"/>
    <w:rsid w:val="006C6B52"/>
    <w:rsid w:val="006C6EAE"/>
    <w:rsid w:val="006C7315"/>
    <w:rsid w:val="006C7658"/>
    <w:rsid w:val="006C7B09"/>
    <w:rsid w:val="006C7D04"/>
    <w:rsid w:val="006D035F"/>
    <w:rsid w:val="006D0388"/>
    <w:rsid w:val="006D0B38"/>
    <w:rsid w:val="006D0DB1"/>
    <w:rsid w:val="006D112C"/>
    <w:rsid w:val="006D1C74"/>
    <w:rsid w:val="006D1F7F"/>
    <w:rsid w:val="006D29F8"/>
    <w:rsid w:val="006D2ACC"/>
    <w:rsid w:val="006D3475"/>
    <w:rsid w:val="006D5611"/>
    <w:rsid w:val="006D62B1"/>
    <w:rsid w:val="006D6878"/>
    <w:rsid w:val="006D6FFB"/>
    <w:rsid w:val="006D7201"/>
    <w:rsid w:val="006D7A35"/>
    <w:rsid w:val="006D7BE5"/>
    <w:rsid w:val="006E0177"/>
    <w:rsid w:val="006E03D3"/>
    <w:rsid w:val="006E06EE"/>
    <w:rsid w:val="006E17E4"/>
    <w:rsid w:val="006E1BE2"/>
    <w:rsid w:val="006E2DCC"/>
    <w:rsid w:val="006E2E64"/>
    <w:rsid w:val="006E3893"/>
    <w:rsid w:val="006E436E"/>
    <w:rsid w:val="006E48E1"/>
    <w:rsid w:val="006E4A43"/>
    <w:rsid w:val="006E5543"/>
    <w:rsid w:val="006E5CE8"/>
    <w:rsid w:val="006E60B5"/>
    <w:rsid w:val="006E7F7F"/>
    <w:rsid w:val="006F081E"/>
    <w:rsid w:val="006F0850"/>
    <w:rsid w:val="006F1406"/>
    <w:rsid w:val="006F1B36"/>
    <w:rsid w:val="006F1EFD"/>
    <w:rsid w:val="006F2AE4"/>
    <w:rsid w:val="006F4F63"/>
    <w:rsid w:val="006F5533"/>
    <w:rsid w:val="006F5CBA"/>
    <w:rsid w:val="006F63B9"/>
    <w:rsid w:val="006F6509"/>
    <w:rsid w:val="006F663E"/>
    <w:rsid w:val="006F6F17"/>
    <w:rsid w:val="006F732A"/>
    <w:rsid w:val="006F7954"/>
    <w:rsid w:val="006F79BB"/>
    <w:rsid w:val="006F7DF7"/>
    <w:rsid w:val="00700542"/>
    <w:rsid w:val="00700D17"/>
    <w:rsid w:val="0070125A"/>
    <w:rsid w:val="007015D9"/>
    <w:rsid w:val="0070194D"/>
    <w:rsid w:val="00701E27"/>
    <w:rsid w:val="007023D6"/>
    <w:rsid w:val="00702CE0"/>
    <w:rsid w:val="00703B71"/>
    <w:rsid w:val="0070431D"/>
    <w:rsid w:val="00705614"/>
    <w:rsid w:val="00706CB6"/>
    <w:rsid w:val="00707B08"/>
    <w:rsid w:val="0071027B"/>
    <w:rsid w:val="00711831"/>
    <w:rsid w:val="00711A7A"/>
    <w:rsid w:val="00711D36"/>
    <w:rsid w:val="00712154"/>
    <w:rsid w:val="00712778"/>
    <w:rsid w:val="00712A0D"/>
    <w:rsid w:val="0071326C"/>
    <w:rsid w:val="00713BF7"/>
    <w:rsid w:val="00713EAE"/>
    <w:rsid w:val="00714709"/>
    <w:rsid w:val="0071542D"/>
    <w:rsid w:val="007176EF"/>
    <w:rsid w:val="00720504"/>
    <w:rsid w:val="007208DE"/>
    <w:rsid w:val="00720D5A"/>
    <w:rsid w:val="00720EF3"/>
    <w:rsid w:val="00721CC0"/>
    <w:rsid w:val="00722B27"/>
    <w:rsid w:val="00722B5C"/>
    <w:rsid w:val="0072334B"/>
    <w:rsid w:val="007234EC"/>
    <w:rsid w:val="0072368E"/>
    <w:rsid w:val="007238D3"/>
    <w:rsid w:val="00724A78"/>
    <w:rsid w:val="00724E2E"/>
    <w:rsid w:val="0072534E"/>
    <w:rsid w:val="0072590B"/>
    <w:rsid w:val="0072664E"/>
    <w:rsid w:val="00726A3B"/>
    <w:rsid w:val="007270B0"/>
    <w:rsid w:val="00727FBD"/>
    <w:rsid w:val="007306BF"/>
    <w:rsid w:val="00730B19"/>
    <w:rsid w:val="0073131B"/>
    <w:rsid w:val="0073142A"/>
    <w:rsid w:val="00731A0E"/>
    <w:rsid w:val="00731D34"/>
    <w:rsid w:val="00731DC6"/>
    <w:rsid w:val="00732A9D"/>
    <w:rsid w:val="0073465B"/>
    <w:rsid w:val="00734AC0"/>
    <w:rsid w:val="00734B50"/>
    <w:rsid w:val="00734CB5"/>
    <w:rsid w:val="00735278"/>
    <w:rsid w:val="007354A9"/>
    <w:rsid w:val="0073550B"/>
    <w:rsid w:val="007359A2"/>
    <w:rsid w:val="00735B6D"/>
    <w:rsid w:val="007360AE"/>
    <w:rsid w:val="0073636F"/>
    <w:rsid w:val="00736F7A"/>
    <w:rsid w:val="007372F1"/>
    <w:rsid w:val="00737532"/>
    <w:rsid w:val="007400ED"/>
    <w:rsid w:val="00740A41"/>
    <w:rsid w:val="00740FA4"/>
    <w:rsid w:val="00741C01"/>
    <w:rsid w:val="00741CCD"/>
    <w:rsid w:val="007421F3"/>
    <w:rsid w:val="00742204"/>
    <w:rsid w:val="0074228C"/>
    <w:rsid w:val="007422FB"/>
    <w:rsid w:val="0074256B"/>
    <w:rsid w:val="00742A5C"/>
    <w:rsid w:val="00743F6D"/>
    <w:rsid w:val="00745B61"/>
    <w:rsid w:val="007460E4"/>
    <w:rsid w:val="007471CA"/>
    <w:rsid w:val="007504C1"/>
    <w:rsid w:val="007505CE"/>
    <w:rsid w:val="00752445"/>
    <w:rsid w:val="00752466"/>
    <w:rsid w:val="007526A4"/>
    <w:rsid w:val="007528A4"/>
    <w:rsid w:val="00752C86"/>
    <w:rsid w:val="00753683"/>
    <w:rsid w:val="00753969"/>
    <w:rsid w:val="00754108"/>
    <w:rsid w:val="0075519D"/>
    <w:rsid w:val="007563D9"/>
    <w:rsid w:val="007567CB"/>
    <w:rsid w:val="00756CBD"/>
    <w:rsid w:val="00757837"/>
    <w:rsid w:val="00757977"/>
    <w:rsid w:val="0076050A"/>
    <w:rsid w:val="00760EDC"/>
    <w:rsid w:val="00761A0A"/>
    <w:rsid w:val="00763214"/>
    <w:rsid w:val="007634BD"/>
    <w:rsid w:val="00764F76"/>
    <w:rsid w:val="007704D5"/>
    <w:rsid w:val="00770742"/>
    <w:rsid w:val="00770F98"/>
    <w:rsid w:val="007715B4"/>
    <w:rsid w:val="0077233E"/>
    <w:rsid w:val="00772D4A"/>
    <w:rsid w:val="00773663"/>
    <w:rsid w:val="007748BD"/>
    <w:rsid w:val="00774B84"/>
    <w:rsid w:val="00774DB3"/>
    <w:rsid w:val="00775799"/>
    <w:rsid w:val="00776B2C"/>
    <w:rsid w:val="00777160"/>
    <w:rsid w:val="007773C2"/>
    <w:rsid w:val="00777D59"/>
    <w:rsid w:val="00780BEB"/>
    <w:rsid w:val="00781045"/>
    <w:rsid w:val="0078125E"/>
    <w:rsid w:val="0078188A"/>
    <w:rsid w:val="0078202F"/>
    <w:rsid w:val="007839BE"/>
    <w:rsid w:val="00784331"/>
    <w:rsid w:val="00785101"/>
    <w:rsid w:val="00785424"/>
    <w:rsid w:val="00785749"/>
    <w:rsid w:val="007857F5"/>
    <w:rsid w:val="007860B9"/>
    <w:rsid w:val="00786FE6"/>
    <w:rsid w:val="00790488"/>
    <w:rsid w:val="00790D73"/>
    <w:rsid w:val="007911AC"/>
    <w:rsid w:val="0079133E"/>
    <w:rsid w:val="007914AF"/>
    <w:rsid w:val="00791638"/>
    <w:rsid w:val="00792397"/>
    <w:rsid w:val="00794462"/>
    <w:rsid w:val="007944E2"/>
    <w:rsid w:val="007946F9"/>
    <w:rsid w:val="00794D82"/>
    <w:rsid w:val="00794FF1"/>
    <w:rsid w:val="0079532A"/>
    <w:rsid w:val="00795367"/>
    <w:rsid w:val="007958EA"/>
    <w:rsid w:val="007960CF"/>
    <w:rsid w:val="00796D71"/>
    <w:rsid w:val="007975D8"/>
    <w:rsid w:val="007978C2"/>
    <w:rsid w:val="00797ED1"/>
    <w:rsid w:val="007A0531"/>
    <w:rsid w:val="007A055C"/>
    <w:rsid w:val="007A0601"/>
    <w:rsid w:val="007A1179"/>
    <w:rsid w:val="007A157F"/>
    <w:rsid w:val="007A1DFF"/>
    <w:rsid w:val="007A21AC"/>
    <w:rsid w:val="007A2C9C"/>
    <w:rsid w:val="007A3479"/>
    <w:rsid w:val="007A3D03"/>
    <w:rsid w:val="007A3D1B"/>
    <w:rsid w:val="007A44BE"/>
    <w:rsid w:val="007A472A"/>
    <w:rsid w:val="007A478A"/>
    <w:rsid w:val="007A48A9"/>
    <w:rsid w:val="007A4BE7"/>
    <w:rsid w:val="007A5102"/>
    <w:rsid w:val="007A5E37"/>
    <w:rsid w:val="007A5E52"/>
    <w:rsid w:val="007A63AD"/>
    <w:rsid w:val="007B0279"/>
    <w:rsid w:val="007B07A1"/>
    <w:rsid w:val="007B09E7"/>
    <w:rsid w:val="007B17FA"/>
    <w:rsid w:val="007B1A66"/>
    <w:rsid w:val="007B1EB8"/>
    <w:rsid w:val="007B24B3"/>
    <w:rsid w:val="007B2B78"/>
    <w:rsid w:val="007B2CA0"/>
    <w:rsid w:val="007B45CC"/>
    <w:rsid w:val="007B5C7C"/>
    <w:rsid w:val="007B6083"/>
    <w:rsid w:val="007B6545"/>
    <w:rsid w:val="007B6758"/>
    <w:rsid w:val="007B6838"/>
    <w:rsid w:val="007B70DF"/>
    <w:rsid w:val="007B7A03"/>
    <w:rsid w:val="007C0718"/>
    <w:rsid w:val="007C1F30"/>
    <w:rsid w:val="007C2A27"/>
    <w:rsid w:val="007C4459"/>
    <w:rsid w:val="007C4A24"/>
    <w:rsid w:val="007C4AA3"/>
    <w:rsid w:val="007C4CB5"/>
    <w:rsid w:val="007C580C"/>
    <w:rsid w:val="007C5E6C"/>
    <w:rsid w:val="007C68AB"/>
    <w:rsid w:val="007C6FCA"/>
    <w:rsid w:val="007C7531"/>
    <w:rsid w:val="007C7D62"/>
    <w:rsid w:val="007D029B"/>
    <w:rsid w:val="007D195A"/>
    <w:rsid w:val="007D1D1B"/>
    <w:rsid w:val="007D200B"/>
    <w:rsid w:val="007D20F6"/>
    <w:rsid w:val="007D2A2D"/>
    <w:rsid w:val="007D4006"/>
    <w:rsid w:val="007D53D4"/>
    <w:rsid w:val="007D6179"/>
    <w:rsid w:val="007D63F3"/>
    <w:rsid w:val="007D6888"/>
    <w:rsid w:val="007D69F5"/>
    <w:rsid w:val="007D69FE"/>
    <w:rsid w:val="007D6E08"/>
    <w:rsid w:val="007D7FA4"/>
    <w:rsid w:val="007E0B55"/>
    <w:rsid w:val="007E171F"/>
    <w:rsid w:val="007E17C8"/>
    <w:rsid w:val="007E1808"/>
    <w:rsid w:val="007E30EB"/>
    <w:rsid w:val="007E359D"/>
    <w:rsid w:val="007E35BE"/>
    <w:rsid w:val="007E392E"/>
    <w:rsid w:val="007E3C54"/>
    <w:rsid w:val="007E40C9"/>
    <w:rsid w:val="007E44F7"/>
    <w:rsid w:val="007E45E7"/>
    <w:rsid w:val="007E4C98"/>
    <w:rsid w:val="007E5A26"/>
    <w:rsid w:val="007E61B7"/>
    <w:rsid w:val="007E69C2"/>
    <w:rsid w:val="007E6E48"/>
    <w:rsid w:val="007E7E3F"/>
    <w:rsid w:val="007F04DE"/>
    <w:rsid w:val="007F1B09"/>
    <w:rsid w:val="007F1B57"/>
    <w:rsid w:val="007F30A5"/>
    <w:rsid w:val="007F3627"/>
    <w:rsid w:val="007F3FEC"/>
    <w:rsid w:val="007F5FE6"/>
    <w:rsid w:val="007F6C75"/>
    <w:rsid w:val="007F6E7B"/>
    <w:rsid w:val="007F7329"/>
    <w:rsid w:val="007F74D4"/>
    <w:rsid w:val="007F7A53"/>
    <w:rsid w:val="007F7EBA"/>
    <w:rsid w:val="00800EA5"/>
    <w:rsid w:val="00801870"/>
    <w:rsid w:val="00801BB0"/>
    <w:rsid w:val="00802FD0"/>
    <w:rsid w:val="00803121"/>
    <w:rsid w:val="00803891"/>
    <w:rsid w:val="00803D6B"/>
    <w:rsid w:val="00804111"/>
    <w:rsid w:val="008042FE"/>
    <w:rsid w:val="00804864"/>
    <w:rsid w:val="0080495E"/>
    <w:rsid w:val="00805B35"/>
    <w:rsid w:val="00805D4F"/>
    <w:rsid w:val="00806109"/>
    <w:rsid w:val="0080682E"/>
    <w:rsid w:val="00806F80"/>
    <w:rsid w:val="0080756B"/>
    <w:rsid w:val="008075C0"/>
    <w:rsid w:val="00807C29"/>
    <w:rsid w:val="008114E4"/>
    <w:rsid w:val="00811A07"/>
    <w:rsid w:val="00812686"/>
    <w:rsid w:val="00812B2F"/>
    <w:rsid w:val="00812CB1"/>
    <w:rsid w:val="00813F4B"/>
    <w:rsid w:val="00814508"/>
    <w:rsid w:val="00815123"/>
    <w:rsid w:val="008168BA"/>
    <w:rsid w:val="008168F0"/>
    <w:rsid w:val="00816943"/>
    <w:rsid w:val="00816B4F"/>
    <w:rsid w:val="0081719D"/>
    <w:rsid w:val="008175A0"/>
    <w:rsid w:val="00817B53"/>
    <w:rsid w:val="00817E85"/>
    <w:rsid w:val="00820150"/>
    <w:rsid w:val="0082030E"/>
    <w:rsid w:val="00820433"/>
    <w:rsid w:val="0082084A"/>
    <w:rsid w:val="00821C44"/>
    <w:rsid w:val="00821E9E"/>
    <w:rsid w:val="00823768"/>
    <w:rsid w:val="00823DA8"/>
    <w:rsid w:val="008247DA"/>
    <w:rsid w:val="008251E2"/>
    <w:rsid w:val="00825C6F"/>
    <w:rsid w:val="00826C6C"/>
    <w:rsid w:val="00827352"/>
    <w:rsid w:val="00830B30"/>
    <w:rsid w:val="00832C7B"/>
    <w:rsid w:val="008351A7"/>
    <w:rsid w:val="0083535C"/>
    <w:rsid w:val="00835FBB"/>
    <w:rsid w:val="00836A8D"/>
    <w:rsid w:val="008370D2"/>
    <w:rsid w:val="008378E5"/>
    <w:rsid w:val="00837A4C"/>
    <w:rsid w:val="00837FF5"/>
    <w:rsid w:val="008405FF"/>
    <w:rsid w:val="00840673"/>
    <w:rsid w:val="0084076E"/>
    <w:rsid w:val="0084095A"/>
    <w:rsid w:val="00841D04"/>
    <w:rsid w:val="00841E16"/>
    <w:rsid w:val="008421F3"/>
    <w:rsid w:val="008428DE"/>
    <w:rsid w:val="00842D56"/>
    <w:rsid w:val="008432A0"/>
    <w:rsid w:val="008438E4"/>
    <w:rsid w:val="00843EE9"/>
    <w:rsid w:val="00844002"/>
    <w:rsid w:val="00844D03"/>
    <w:rsid w:val="00845025"/>
    <w:rsid w:val="00845CA7"/>
    <w:rsid w:val="00845F11"/>
    <w:rsid w:val="008461DF"/>
    <w:rsid w:val="00846760"/>
    <w:rsid w:val="00850753"/>
    <w:rsid w:val="00850833"/>
    <w:rsid w:val="00850E3D"/>
    <w:rsid w:val="0085176C"/>
    <w:rsid w:val="00851B64"/>
    <w:rsid w:val="00851DEA"/>
    <w:rsid w:val="00852A36"/>
    <w:rsid w:val="0085375A"/>
    <w:rsid w:val="00853DA1"/>
    <w:rsid w:val="00853DEE"/>
    <w:rsid w:val="00854000"/>
    <w:rsid w:val="00854398"/>
    <w:rsid w:val="0085476C"/>
    <w:rsid w:val="00854A63"/>
    <w:rsid w:val="00855EE8"/>
    <w:rsid w:val="00855F64"/>
    <w:rsid w:val="0085636F"/>
    <w:rsid w:val="0085750C"/>
    <w:rsid w:val="0085760A"/>
    <w:rsid w:val="00862A88"/>
    <w:rsid w:val="008644BA"/>
    <w:rsid w:val="00865164"/>
    <w:rsid w:val="0086547A"/>
    <w:rsid w:val="00865CD5"/>
    <w:rsid w:val="008660E3"/>
    <w:rsid w:val="00866A2A"/>
    <w:rsid w:val="00866FD4"/>
    <w:rsid w:val="008672BD"/>
    <w:rsid w:val="008705A8"/>
    <w:rsid w:val="0087116C"/>
    <w:rsid w:val="00871B3B"/>
    <w:rsid w:val="00872A7F"/>
    <w:rsid w:val="0087387D"/>
    <w:rsid w:val="00873AFE"/>
    <w:rsid w:val="0087455E"/>
    <w:rsid w:val="00874A19"/>
    <w:rsid w:val="0087559D"/>
    <w:rsid w:val="008765B4"/>
    <w:rsid w:val="0088019C"/>
    <w:rsid w:val="008809CE"/>
    <w:rsid w:val="00880FD4"/>
    <w:rsid w:val="00881097"/>
    <w:rsid w:val="00881CAA"/>
    <w:rsid w:val="00882A5D"/>
    <w:rsid w:val="00882F2C"/>
    <w:rsid w:val="00883296"/>
    <w:rsid w:val="0088340E"/>
    <w:rsid w:val="00883A42"/>
    <w:rsid w:val="00885A48"/>
    <w:rsid w:val="00885D8B"/>
    <w:rsid w:val="008865D2"/>
    <w:rsid w:val="0088688F"/>
    <w:rsid w:val="0088697C"/>
    <w:rsid w:val="00887312"/>
    <w:rsid w:val="008874B7"/>
    <w:rsid w:val="00887A7B"/>
    <w:rsid w:val="008903C7"/>
    <w:rsid w:val="008906A2"/>
    <w:rsid w:val="00891444"/>
    <w:rsid w:val="00891AA1"/>
    <w:rsid w:val="00891AF4"/>
    <w:rsid w:val="00891E99"/>
    <w:rsid w:val="008930A0"/>
    <w:rsid w:val="008932D5"/>
    <w:rsid w:val="00893336"/>
    <w:rsid w:val="0089338D"/>
    <w:rsid w:val="00893489"/>
    <w:rsid w:val="00893D4D"/>
    <w:rsid w:val="00893FC1"/>
    <w:rsid w:val="008943F5"/>
    <w:rsid w:val="00895564"/>
    <w:rsid w:val="00895820"/>
    <w:rsid w:val="008966DF"/>
    <w:rsid w:val="008970CE"/>
    <w:rsid w:val="00897412"/>
    <w:rsid w:val="008974A9"/>
    <w:rsid w:val="00897638"/>
    <w:rsid w:val="0089797A"/>
    <w:rsid w:val="00897EFB"/>
    <w:rsid w:val="008A0308"/>
    <w:rsid w:val="008A03B1"/>
    <w:rsid w:val="008A0D4E"/>
    <w:rsid w:val="008A0D8A"/>
    <w:rsid w:val="008A1967"/>
    <w:rsid w:val="008A1D7F"/>
    <w:rsid w:val="008A2EB5"/>
    <w:rsid w:val="008A34A4"/>
    <w:rsid w:val="008A49E1"/>
    <w:rsid w:val="008A5763"/>
    <w:rsid w:val="008A60F4"/>
    <w:rsid w:val="008A748D"/>
    <w:rsid w:val="008B074F"/>
    <w:rsid w:val="008B17CE"/>
    <w:rsid w:val="008B23F1"/>
    <w:rsid w:val="008B400B"/>
    <w:rsid w:val="008B4AD3"/>
    <w:rsid w:val="008B62D0"/>
    <w:rsid w:val="008C05C7"/>
    <w:rsid w:val="008C10AE"/>
    <w:rsid w:val="008C200C"/>
    <w:rsid w:val="008C223C"/>
    <w:rsid w:val="008C2B59"/>
    <w:rsid w:val="008C322E"/>
    <w:rsid w:val="008C513F"/>
    <w:rsid w:val="008C5612"/>
    <w:rsid w:val="008C5892"/>
    <w:rsid w:val="008C5F82"/>
    <w:rsid w:val="008C6760"/>
    <w:rsid w:val="008C6A94"/>
    <w:rsid w:val="008C7DAD"/>
    <w:rsid w:val="008C7FE3"/>
    <w:rsid w:val="008D0400"/>
    <w:rsid w:val="008D0945"/>
    <w:rsid w:val="008D23A0"/>
    <w:rsid w:val="008D2716"/>
    <w:rsid w:val="008D2EA3"/>
    <w:rsid w:val="008D3C67"/>
    <w:rsid w:val="008D3CCA"/>
    <w:rsid w:val="008D4DC9"/>
    <w:rsid w:val="008D5362"/>
    <w:rsid w:val="008D5409"/>
    <w:rsid w:val="008D6158"/>
    <w:rsid w:val="008D724D"/>
    <w:rsid w:val="008D73CA"/>
    <w:rsid w:val="008D7748"/>
    <w:rsid w:val="008E0581"/>
    <w:rsid w:val="008E0D08"/>
    <w:rsid w:val="008E0EB8"/>
    <w:rsid w:val="008E1487"/>
    <w:rsid w:val="008E1DB4"/>
    <w:rsid w:val="008E22C9"/>
    <w:rsid w:val="008E32B9"/>
    <w:rsid w:val="008E3E57"/>
    <w:rsid w:val="008E3EFE"/>
    <w:rsid w:val="008E3F6F"/>
    <w:rsid w:val="008E4F2D"/>
    <w:rsid w:val="008E60DB"/>
    <w:rsid w:val="008E727D"/>
    <w:rsid w:val="008F09DB"/>
    <w:rsid w:val="008F0B4B"/>
    <w:rsid w:val="008F0D2B"/>
    <w:rsid w:val="008F1330"/>
    <w:rsid w:val="008F158C"/>
    <w:rsid w:val="008F2957"/>
    <w:rsid w:val="008F3652"/>
    <w:rsid w:val="008F44A4"/>
    <w:rsid w:val="008F6100"/>
    <w:rsid w:val="008F6624"/>
    <w:rsid w:val="008F6F9E"/>
    <w:rsid w:val="008F7D1B"/>
    <w:rsid w:val="00901042"/>
    <w:rsid w:val="0090149D"/>
    <w:rsid w:val="00901590"/>
    <w:rsid w:val="00901AF3"/>
    <w:rsid w:val="00903522"/>
    <w:rsid w:val="00903C62"/>
    <w:rsid w:val="00903F2B"/>
    <w:rsid w:val="00903F3F"/>
    <w:rsid w:val="00904DBE"/>
    <w:rsid w:val="00904E26"/>
    <w:rsid w:val="009059D5"/>
    <w:rsid w:val="009066E9"/>
    <w:rsid w:val="00906C18"/>
    <w:rsid w:val="00907260"/>
    <w:rsid w:val="00910127"/>
    <w:rsid w:val="009102B2"/>
    <w:rsid w:val="00910C32"/>
    <w:rsid w:val="00911BC0"/>
    <w:rsid w:val="00913372"/>
    <w:rsid w:val="00913529"/>
    <w:rsid w:val="0091363C"/>
    <w:rsid w:val="00914157"/>
    <w:rsid w:val="009141FD"/>
    <w:rsid w:val="009144E7"/>
    <w:rsid w:val="0091501E"/>
    <w:rsid w:val="00915125"/>
    <w:rsid w:val="009157C6"/>
    <w:rsid w:val="00915AD7"/>
    <w:rsid w:val="0091666A"/>
    <w:rsid w:val="00916D72"/>
    <w:rsid w:val="00916DF9"/>
    <w:rsid w:val="00917F8E"/>
    <w:rsid w:val="00920A61"/>
    <w:rsid w:val="00920A9D"/>
    <w:rsid w:val="00920B46"/>
    <w:rsid w:val="00920D0F"/>
    <w:rsid w:val="00920DFB"/>
    <w:rsid w:val="00920FFE"/>
    <w:rsid w:val="00921295"/>
    <w:rsid w:val="00922335"/>
    <w:rsid w:val="0092245E"/>
    <w:rsid w:val="0092254B"/>
    <w:rsid w:val="00922999"/>
    <w:rsid w:val="00922BAA"/>
    <w:rsid w:val="00923993"/>
    <w:rsid w:val="00923DA3"/>
    <w:rsid w:val="0092408D"/>
    <w:rsid w:val="009248E0"/>
    <w:rsid w:val="00925455"/>
    <w:rsid w:val="0092555A"/>
    <w:rsid w:val="0092562D"/>
    <w:rsid w:val="009256F1"/>
    <w:rsid w:val="00925EF2"/>
    <w:rsid w:val="00926067"/>
    <w:rsid w:val="009265D5"/>
    <w:rsid w:val="00927C19"/>
    <w:rsid w:val="00930C2A"/>
    <w:rsid w:val="00930DB0"/>
    <w:rsid w:val="00930E88"/>
    <w:rsid w:val="00931CE0"/>
    <w:rsid w:val="00931D77"/>
    <w:rsid w:val="00931D87"/>
    <w:rsid w:val="00931EA0"/>
    <w:rsid w:val="009320AC"/>
    <w:rsid w:val="00932301"/>
    <w:rsid w:val="009323FD"/>
    <w:rsid w:val="00932908"/>
    <w:rsid w:val="009329FB"/>
    <w:rsid w:val="00932AE2"/>
    <w:rsid w:val="00935118"/>
    <w:rsid w:val="0093532E"/>
    <w:rsid w:val="009354CF"/>
    <w:rsid w:val="00935EDA"/>
    <w:rsid w:val="0093618C"/>
    <w:rsid w:val="0094167C"/>
    <w:rsid w:val="00941A68"/>
    <w:rsid w:val="00941E0E"/>
    <w:rsid w:val="00941FCC"/>
    <w:rsid w:val="009424F1"/>
    <w:rsid w:val="009429F8"/>
    <w:rsid w:val="0094317D"/>
    <w:rsid w:val="0094342B"/>
    <w:rsid w:val="009436AB"/>
    <w:rsid w:val="00943F26"/>
    <w:rsid w:val="00943FAB"/>
    <w:rsid w:val="00944445"/>
    <w:rsid w:val="00944800"/>
    <w:rsid w:val="009448B5"/>
    <w:rsid w:val="00944CCB"/>
    <w:rsid w:val="00945B09"/>
    <w:rsid w:val="009460FA"/>
    <w:rsid w:val="0094635C"/>
    <w:rsid w:val="00946A13"/>
    <w:rsid w:val="00947623"/>
    <w:rsid w:val="009506C1"/>
    <w:rsid w:val="00951073"/>
    <w:rsid w:val="00951446"/>
    <w:rsid w:val="00951CC5"/>
    <w:rsid w:val="00951DEA"/>
    <w:rsid w:val="009521B3"/>
    <w:rsid w:val="009526CA"/>
    <w:rsid w:val="00953504"/>
    <w:rsid w:val="00955BFC"/>
    <w:rsid w:val="00956310"/>
    <w:rsid w:val="00957279"/>
    <w:rsid w:val="00961AC4"/>
    <w:rsid w:val="00961DE8"/>
    <w:rsid w:val="00961FBA"/>
    <w:rsid w:val="009628B0"/>
    <w:rsid w:val="00963644"/>
    <w:rsid w:val="00964A63"/>
    <w:rsid w:val="009650FD"/>
    <w:rsid w:val="00966086"/>
    <w:rsid w:val="0096711C"/>
    <w:rsid w:val="00967A44"/>
    <w:rsid w:val="00971031"/>
    <w:rsid w:val="0097144D"/>
    <w:rsid w:val="009722DE"/>
    <w:rsid w:val="00972CB4"/>
    <w:rsid w:val="00972E7A"/>
    <w:rsid w:val="00973578"/>
    <w:rsid w:val="009739C4"/>
    <w:rsid w:val="00973CC9"/>
    <w:rsid w:val="00973D6A"/>
    <w:rsid w:val="00974077"/>
    <w:rsid w:val="0097434D"/>
    <w:rsid w:val="00974661"/>
    <w:rsid w:val="0097486C"/>
    <w:rsid w:val="00974AD7"/>
    <w:rsid w:val="00975402"/>
    <w:rsid w:val="00976CCD"/>
    <w:rsid w:val="00976D25"/>
    <w:rsid w:val="009774D1"/>
    <w:rsid w:val="00980156"/>
    <w:rsid w:val="00980F36"/>
    <w:rsid w:val="009814E6"/>
    <w:rsid w:val="00983777"/>
    <w:rsid w:val="00983D94"/>
    <w:rsid w:val="00983DED"/>
    <w:rsid w:val="009842DE"/>
    <w:rsid w:val="00985475"/>
    <w:rsid w:val="009854CE"/>
    <w:rsid w:val="00985C33"/>
    <w:rsid w:val="009864DB"/>
    <w:rsid w:val="00987357"/>
    <w:rsid w:val="009903B6"/>
    <w:rsid w:val="009903FA"/>
    <w:rsid w:val="009908EB"/>
    <w:rsid w:val="00990928"/>
    <w:rsid w:val="009914B5"/>
    <w:rsid w:val="00991737"/>
    <w:rsid w:val="00992D41"/>
    <w:rsid w:val="00993749"/>
    <w:rsid w:val="00994548"/>
    <w:rsid w:val="00995051"/>
    <w:rsid w:val="009959E3"/>
    <w:rsid w:val="00995CFB"/>
    <w:rsid w:val="00996758"/>
    <w:rsid w:val="009967FD"/>
    <w:rsid w:val="009978E5"/>
    <w:rsid w:val="009A0453"/>
    <w:rsid w:val="009A0A54"/>
    <w:rsid w:val="009A14DF"/>
    <w:rsid w:val="009A2917"/>
    <w:rsid w:val="009A32FD"/>
    <w:rsid w:val="009A33F9"/>
    <w:rsid w:val="009A389F"/>
    <w:rsid w:val="009A3D56"/>
    <w:rsid w:val="009A4D83"/>
    <w:rsid w:val="009A5AB9"/>
    <w:rsid w:val="009A6053"/>
    <w:rsid w:val="009A67CD"/>
    <w:rsid w:val="009A6C78"/>
    <w:rsid w:val="009A6D67"/>
    <w:rsid w:val="009A6F0D"/>
    <w:rsid w:val="009A7767"/>
    <w:rsid w:val="009A7C5B"/>
    <w:rsid w:val="009A7E6C"/>
    <w:rsid w:val="009B034E"/>
    <w:rsid w:val="009B25AF"/>
    <w:rsid w:val="009B2686"/>
    <w:rsid w:val="009B3056"/>
    <w:rsid w:val="009B3060"/>
    <w:rsid w:val="009B337D"/>
    <w:rsid w:val="009B3BF0"/>
    <w:rsid w:val="009B3C4B"/>
    <w:rsid w:val="009B40A3"/>
    <w:rsid w:val="009B4143"/>
    <w:rsid w:val="009B534D"/>
    <w:rsid w:val="009B55D0"/>
    <w:rsid w:val="009B6123"/>
    <w:rsid w:val="009B641D"/>
    <w:rsid w:val="009B6E2A"/>
    <w:rsid w:val="009B6E6C"/>
    <w:rsid w:val="009B7336"/>
    <w:rsid w:val="009B74D1"/>
    <w:rsid w:val="009C2A19"/>
    <w:rsid w:val="009C2AE9"/>
    <w:rsid w:val="009C2B5B"/>
    <w:rsid w:val="009C2E34"/>
    <w:rsid w:val="009C3214"/>
    <w:rsid w:val="009C4408"/>
    <w:rsid w:val="009C5225"/>
    <w:rsid w:val="009C5304"/>
    <w:rsid w:val="009C5D06"/>
    <w:rsid w:val="009C67BC"/>
    <w:rsid w:val="009C69B2"/>
    <w:rsid w:val="009C7C23"/>
    <w:rsid w:val="009D0CB0"/>
    <w:rsid w:val="009D12D2"/>
    <w:rsid w:val="009D1F93"/>
    <w:rsid w:val="009D254D"/>
    <w:rsid w:val="009D2816"/>
    <w:rsid w:val="009D292D"/>
    <w:rsid w:val="009D376E"/>
    <w:rsid w:val="009D3A92"/>
    <w:rsid w:val="009D473C"/>
    <w:rsid w:val="009D53FA"/>
    <w:rsid w:val="009D54BB"/>
    <w:rsid w:val="009D5DA6"/>
    <w:rsid w:val="009D5E2F"/>
    <w:rsid w:val="009D5F80"/>
    <w:rsid w:val="009D6AB5"/>
    <w:rsid w:val="009D6C12"/>
    <w:rsid w:val="009D7181"/>
    <w:rsid w:val="009E0704"/>
    <w:rsid w:val="009E0794"/>
    <w:rsid w:val="009E0B6F"/>
    <w:rsid w:val="009E0D4E"/>
    <w:rsid w:val="009E1E9E"/>
    <w:rsid w:val="009E383E"/>
    <w:rsid w:val="009E4129"/>
    <w:rsid w:val="009E4BBE"/>
    <w:rsid w:val="009E4F56"/>
    <w:rsid w:val="009E57E2"/>
    <w:rsid w:val="009E5DB5"/>
    <w:rsid w:val="009E640D"/>
    <w:rsid w:val="009E6422"/>
    <w:rsid w:val="009E668D"/>
    <w:rsid w:val="009E6828"/>
    <w:rsid w:val="009E6AA5"/>
    <w:rsid w:val="009E7DFD"/>
    <w:rsid w:val="009F24BD"/>
    <w:rsid w:val="009F2C56"/>
    <w:rsid w:val="009F2DC5"/>
    <w:rsid w:val="009F3707"/>
    <w:rsid w:val="009F3F57"/>
    <w:rsid w:val="009F4DA1"/>
    <w:rsid w:val="009F6610"/>
    <w:rsid w:val="009F6829"/>
    <w:rsid w:val="009F6A28"/>
    <w:rsid w:val="009F6CE4"/>
    <w:rsid w:val="009F7A1D"/>
    <w:rsid w:val="009F7BF6"/>
    <w:rsid w:val="00A00784"/>
    <w:rsid w:val="00A00DE8"/>
    <w:rsid w:val="00A01474"/>
    <w:rsid w:val="00A017DD"/>
    <w:rsid w:val="00A0205E"/>
    <w:rsid w:val="00A020AB"/>
    <w:rsid w:val="00A02EBE"/>
    <w:rsid w:val="00A036D2"/>
    <w:rsid w:val="00A04068"/>
    <w:rsid w:val="00A04318"/>
    <w:rsid w:val="00A04B45"/>
    <w:rsid w:val="00A054E9"/>
    <w:rsid w:val="00A0672A"/>
    <w:rsid w:val="00A06E05"/>
    <w:rsid w:val="00A0756A"/>
    <w:rsid w:val="00A1053B"/>
    <w:rsid w:val="00A108B1"/>
    <w:rsid w:val="00A1165D"/>
    <w:rsid w:val="00A11A97"/>
    <w:rsid w:val="00A12464"/>
    <w:rsid w:val="00A13409"/>
    <w:rsid w:val="00A13C0A"/>
    <w:rsid w:val="00A13CCD"/>
    <w:rsid w:val="00A13CFB"/>
    <w:rsid w:val="00A13D2D"/>
    <w:rsid w:val="00A140B0"/>
    <w:rsid w:val="00A14546"/>
    <w:rsid w:val="00A14748"/>
    <w:rsid w:val="00A14D98"/>
    <w:rsid w:val="00A16438"/>
    <w:rsid w:val="00A167CB"/>
    <w:rsid w:val="00A16D7B"/>
    <w:rsid w:val="00A1731B"/>
    <w:rsid w:val="00A17369"/>
    <w:rsid w:val="00A2023D"/>
    <w:rsid w:val="00A204B3"/>
    <w:rsid w:val="00A20945"/>
    <w:rsid w:val="00A20EE0"/>
    <w:rsid w:val="00A210D8"/>
    <w:rsid w:val="00A21A3D"/>
    <w:rsid w:val="00A21A90"/>
    <w:rsid w:val="00A21F35"/>
    <w:rsid w:val="00A22565"/>
    <w:rsid w:val="00A241C7"/>
    <w:rsid w:val="00A24765"/>
    <w:rsid w:val="00A24810"/>
    <w:rsid w:val="00A24E9C"/>
    <w:rsid w:val="00A254DF"/>
    <w:rsid w:val="00A2565F"/>
    <w:rsid w:val="00A257DA"/>
    <w:rsid w:val="00A26768"/>
    <w:rsid w:val="00A2682C"/>
    <w:rsid w:val="00A2770A"/>
    <w:rsid w:val="00A279D5"/>
    <w:rsid w:val="00A30476"/>
    <w:rsid w:val="00A30558"/>
    <w:rsid w:val="00A30BD6"/>
    <w:rsid w:val="00A30E6E"/>
    <w:rsid w:val="00A30F01"/>
    <w:rsid w:val="00A310C9"/>
    <w:rsid w:val="00A326D6"/>
    <w:rsid w:val="00A32B20"/>
    <w:rsid w:val="00A3332F"/>
    <w:rsid w:val="00A33E19"/>
    <w:rsid w:val="00A3437C"/>
    <w:rsid w:val="00A343E1"/>
    <w:rsid w:val="00A34B8F"/>
    <w:rsid w:val="00A34BDB"/>
    <w:rsid w:val="00A35A3A"/>
    <w:rsid w:val="00A3625E"/>
    <w:rsid w:val="00A3691B"/>
    <w:rsid w:val="00A369CC"/>
    <w:rsid w:val="00A40408"/>
    <w:rsid w:val="00A41202"/>
    <w:rsid w:val="00A41A68"/>
    <w:rsid w:val="00A42A52"/>
    <w:rsid w:val="00A42C0E"/>
    <w:rsid w:val="00A42CFA"/>
    <w:rsid w:val="00A44308"/>
    <w:rsid w:val="00A44C7A"/>
    <w:rsid w:val="00A45121"/>
    <w:rsid w:val="00A46C83"/>
    <w:rsid w:val="00A46DA2"/>
    <w:rsid w:val="00A47BE7"/>
    <w:rsid w:val="00A500FD"/>
    <w:rsid w:val="00A502AB"/>
    <w:rsid w:val="00A50D91"/>
    <w:rsid w:val="00A52376"/>
    <w:rsid w:val="00A52BA9"/>
    <w:rsid w:val="00A530A4"/>
    <w:rsid w:val="00A5323E"/>
    <w:rsid w:val="00A5333D"/>
    <w:rsid w:val="00A5411D"/>
    <w:rsid w:val="00A541B8"/>
    <w:rsid w:val="00A54371"/>
    <w:rsid w:val="00A56358"/>
    <w:rsid w:val="00A569C2"/>
    <w:rsid w:val="00A56CD7"/>
    <w:rsid w:val="00A572EE"/>
    <w:rsid w:val="00A6039F"/>
    <w:rsid w:val="00A60A60"/>
    <w:rsid w:val="00A60F8C"/>
    <w:rsid w:val="00A61304"/>
    <w:rsid w:val="00A61CFE"/>
    <w:rsid w:val="00A6208D"/>
    <w:rsid w:val="00A6226F"/>
    <w:rsid w:val="00A62AC0"/>
    <w:rsid w:val="00A62D6B"/>
    <w:rsid w:val="00A62E37"/>
    <w:rsid w:val="00A631FF"/>
    <w:rsid w:val="00A63336"/>
    <w:rsid w:val="00A635D4"/>
    <w:rsid w:val="00A63722"/>
    <w:rsid w:val="00A63982"/>
    <w:rsid w:val="00A7085D"/>
    <w:rsid w:val="00A70A3B"/>
    <w:rsid w:val="00A71360"/>
    <w:rsid w:val="00A71A8C"/>
    <w:rsid w:val="00A72DC9"/>
    <w:rsid w:val="00A73BA1"/>
    <w:rsid w:val="00A73BA6"/>
    <w:rsid w:val="00A73C6F"/>
    <w:rsid w:val="00A744AC"/>
    <w:rsid w:val="00A75E41"/>
    <w:rsid w:val="00A76DD3"/>
    <w:rsid w:val="00A80273"/>
    <w:rsid w:val="00A81A0D"/>
    <w:rsid w:val="00A8288B"/>
    <w:rsid w:val="00A83960"/>
    <w:rsid w:val="00A84584"/>
    <w:rsid w:val="00A84F7F"/>
    <w:rsid w:val="00A85242"/>
    <w:rsid w:val="00A86135"/>
    <w:rsid w:val="00A867F3"/>
    <w:rsid w:val="00A869B6"/>
    <w:rsid w:val="00A86E3B"/>
    <w:rsid w:val="00A87655"/>
    <w:rsid w:val="00A87B87"/>
    <w:rsid w:val="00A87C3B"/>
    <w:rsid w:val="00A87E4A"/>
    <w:rsid w:val="00A87FC6"/>
    <w:rsid w:val="00A908CA"/>
    <w:rsid w:val="00A91089"/>
    <w:rsid w:val="00A9127C"/>
    <w:rsid w:val="00A92721"/>
    <w:rsid w:val="00A92BE0"/>
    <w:rsid w:val="00A92CA9"/>
    <w:rsid w:val="00A9388E"/>
    <w:rsid w:val="00A93991"/>
    <w:rsid w:val="00A9428D"/>
    <w:rsid w:val="00A942EE"/>
    <w:rsid w:val="00A96D5E"/>
    <w:rsid w:val="00A96EFC"/>
    <w:rsid w:val="00A97D67"/>
    <w:rsid w:val="00A97EC9"/>
    <w:rsid w:val="00AA0142"/>
    <w:rsid w:val="00AA03B8"/>
    <w:rsid w:val="00AA0E1A"/>
    <w:rsid w:val="00AA104D"/>
    <w:rsid w:val="00AA122F"/>
    <w:rsid w:val="00AA12AA"/>
    <w:rsid w:val="00AA35B9"/>
    <w:rsid w:val="00AA3A59"/>
    <w:rsid w:val="00AA4536"/>
    <w:rsid w:val="00AA4E22"/>
    <w:rsid w:val="00AA53DC"/>
    <w:rsid w:val="00AA5939"/>
    <w:rsid w:val="00AA618D"/>
    <w:rsid w:val="00AA707A"/>
    <w:rsid w:val="00AA735B"/>
    <w:rsid w:val="00AA769E"/>
    <w:rsid w:val="00AA77E0"/>
    <w:rsid w:val="00AA7904"/>
    <w:rsid w:val="00AA7A49"/>
    <w:rsid w:val="00AB02A6"/>
    <w:rsid w:val="00AB0931"/>
    <w:rsid w:val="00AB104E"/>
    <w:rsid w:val="00AB1068"/>
    <w:rsid w:val="00AB1085"/>
    <w:rsid w:val="00AB177C"/>
    <w:rsid w:val="00AB1789"/>
    <w:rsid w:val="00AB25F1"/>
    <w:rsid w:val="00AB37C4"/>
    <w:rsid w:val="00AB44EE"/>
    <w:rsid w:val="00AB4AAC"/>
    <w:rsid w:val="00AB633C"/>
    <w:rsid w:val="00AB654D"/>
    <w:rsid w:val="00AB6DD4"/>
    <w:rsid w:val="00AB7333"/>
    <w:rsid w:val="00AB7ABA"/>
    <w:rsid w:val="00AC0718"/>
    <w:rsid w:val="00AC245A"/>
    <w:rsid w:val="00AC2857"/>
    <w:rsid w:val="00AC4017"/>
    <w:rsid w:val="00AC5121"/>
    <w:rsid w:val="00AC51C9"/>
    <w:rsid w:val="00AC6B53"/>
    <w:rsid w:val="00AC7539"/>
    <w:rsid w:val="00AC7B38"/>
    <w:rsid w:val="00AD01E3"/>
    <w:rsid w:val="00AD0A73"/>
    <w:rsid w:val="00AD1D35"/>
    <w:rsid w:val="00AD20BA"/>
    <w:rsid w:val="00AD2603"/>
    <w:rsid w:val="00AD2A65"/>
    <w:rsid w:val="00AD3A3E"/>
    <w:rsid w:val="00AD43EB"/>
    <w:rsid w:val="00AD531C"/>
    <w:rsid w:val="00AD545A"/>
    <w:rsid w:val="00AD54A6"/>
    <w:rsid w:val="00AD5A25"/>
    <w:rsid w:val="00AD5C7A"/>
    <w:rsid w:val="00AD5D2C"/>
    <w:rsid w:val="00AD5E62"/>
    <w:rsid w:val="00AD612A"/>
    <w:rsid w:val="00AD632C"/>
    <w:rsid w:val="00AD6771"/>
    <w:rsid w:val="00AD6B49"/>
    <w:rsid w:val="00AD6C81"/>
    <w:rsid w:val="00AD6E50"/>
    <w:rsid w:val="00AD6F6E"/>
    <w:rsid w:val="00AE0152"/>
    <w:rsid w:val="00AE02A6"/>
    <w:rsid w:val="00AE040B"/>
    <w:rsid w:val="00AE0DE0"/>
    <w:rsid w:val="00AE142E"/>
    <w:rsid w:val="00AE18CB"/>
    <w:rsid w:val="00AE2773"/>
    <w:rsid w:val="00AE2868"/>
    <w:rsid w:val="00AE345C"/>
    <w:rsid w:val="00AE36B5"/>
    <w:rsid w:val="00AE3A12"/>
    <w:rsid w:val="00AE5841"/>
    <w:rsid w:val="00AE5C0D"/>
    <w:rsid w:val="00AE654C"/>
    <w:rsid w:val="00AE6576"/>
    <w:rsid w:val="00AE678B"/>
    <w:rsid w:val="00AE6E48"/>
    <w:rsid w:val="00AE7A42"/>
    <w:rsid w:val="00AE7BAD"/>
    <w:rsid w:val="00AF0074"/>
    <w:rsid w:val="00AF0773"/>
    <w:rsid w:val="00AF1451"/>
    <w:rsid w:val="00AF184D"/>
    <w:rsid w:val="00AF283B"/>
    <w:rsid w:val="00AF29E6"/>
    <w:rsid w:val="00AF2DA0"/>
    <w:rsid w:val="00AF351B"/>
    <w:rsid w:val="00AF3F3A"/>
    <w:rsid w:val="00AF553A"/>
    <w:rsid w:val="00AF57DD"/>
    <w:rsid w:val="00AF5816"/>
    <w:rsid w:val="00AF5B2C"/>
    <w:rsid w:val="00AF6CF6"/>
    <w:rsid w:val="00AF6E48"/>
    <w:rsid w:val="00AF7291"/>
    <w:rsid w:val="00AF75A5"/>
    <w:rsid w:val="00AF78E9"/>
    <w:rsid w:val="00AF7CA0"/>
    <w:rsid w:val="00AF7D16"/>
    <w:rsid w:val="00B006E2"/>
    <w:rsid w:val="00B012C2"/>
    <w:rsid w:val="00B0266D"/>
    <w:rsid w:val="00B0274D"/>
    <w:rsid w:val="00B02D1E"/>
    <w:rsid w:val="00B03117"/>
    <w:rsid w:val="00B0374D"/>
    <w:rsid w:val="00B04E0C"/>
    <w:rsid w:val="00B0535A"/>
    <w:rsid w:val="00B058AD"/>
    <w:rsid w:val="00B05BA0"/>
    <w:rsid w:val="00B06F7F"/>
    <w:rsid w:val="00B07BA3"/>
    <w:rsid w:val="00B100FD"/>
    <w:rsid w:val="00B10420"/>
    <w:rsid w:val="00B10A67"/>
    <w:rsid w:val="00B119D9"/>
    <w:rsid w:val="00B131F9"/>
    <w:rsid w:val="00B1394D"/>
    <w:rsid w:val="00B14800"/>
    <w:rsid w:val="00B14B9C"/>
    <w:rsid w:val="00B155B0"/>
    <w:rsid w:val="00B15E59"/>
    <w:rsid w:val="00B16D9E"/>
    <w:rsid w:val="00B20277"/>
    <w:rsid w:val="00B20422"/>
    <w:rsid w:val="00B20B95"/>
    <w:rsid w:val="00B2350E"/>
    <w:rsid w:val="00B235EE"/>
    <w:rsid w:val="00B23EFA"/>
    <w:rsid w:val="00B245AE"/>
    <w:rsid w:val="00B246E7"/>
    <w:rsid w:val="00B247FA"/>
    <w:rsid w:val="00B24871"/>
    <w:rsid w:val="00B2501B"/>
    <w:rsid w:val="00B25131"/>
    <w:rsid w:val="00B25A04"/>
    <w:rsid w:val="00B264C2"/>
    <w:rsid w:val="00B267A5"/>
    <w:rsid w:val="00B272FC"/>
    <w:rsid w:val="00B27832"/>
    <w:rsid w:val="00B278BC"/>
    <w:rsid w:val="00B27CED"/>
    <w:rsid w:val="00B30936"/>
    <w:rsid w:val="00B30A20"/>
    <w:rsid w:val="00B30B21"/>
    <w:rsid w:val="00B30DEB"/>
    <w:rsid w:val="00B31276"/>
    <w:rsid w:val="00B322B4"/>
    <w:rsid w:val="00B32BB1"/>
    <w:rsid w:val="00B32EB0"/>
    <w:rsid w:val="00B33314"/>
    <w:rsid w:val="00B3333E"/>
    <w:rsid w:val="00B33A45"/>
    <w:rsid w:val="00B347FC"/>
    <w:rsid w:val="00B350A8"/>
    <w:rsid w:val="00B3556A"/>
    <w:rsid w:val="00B35677"/>
    <w:rsid w:val="00B3783B"/>
    <w:rsid w:val="00B40A36"/>
    <w:rsid w:val="00B41087"/>
    <w:rsid w:val="00B413CA"/>
    <w:rsid w:val="00B416F4"/>
    <w:rsid w:val="00B417B0"/>
    <w:rsid w:val="00B41D90"/>
    <w:rsid w:val="00B41DAC"/>
    <w:rsid w:val="00B41E01"/>
    <w:rsid w:val="00B41E2D"/>
    <w:rsid w:val="00B41E46"/>
    <w:rsid w:val="00B4220C"/>
    <w:rsid w:val="00B42B39"/>
    <w:rsid w:val="00B43986"/>
    <w:rsid w:val="00B43A3C"/>
    <w:rsid w:val="00B43AD6"/>
    <w:rsid w:val="00B43B37"/>
    <w:rsid w:val="00B4417C"/>
    <w:rsid w:val="00B4493F"/>
    <w:rsid w:val="00B44BB7"/>
    <w:rsid w:val="00B4590D"/>
    <w:rsid w:val="00B46A31"/>
    <w:rsid w:val="00B4737A"/>
    <w:rsid w:val="00B47917"/>
    <w:rsid w:val="00B47D86"/>
    <w:rsid w:val="00B50047"/>
    <w:rsid w:val="00B50BE4"/>
    <w:rsid w:val="00B512A3"/>
    <w:rsid w:val="00B515AE"/>
    <w:rsid w:val="00B51C65"/>
    <w:rsid w:val="00B53F04"/>
    <w:rsid w:val="00B54600"/>
    <w:rsid w:val="00B54858"/>
    <w:rsid w:val="00B554A2"/>
    <w:rsid w:val="00B555B4"/>
    <w:rsid w:val="00B5678A"/>
    <w:rsid w:val="00B57E66"/>
    <w:rsid w:val="00B57F75"/>
    <w:rsid w:val="00B6002F"/>
    <w:rsid w:val="00B60DB4"/>
    <w:rsid w:val="00B60FA6"/>
    <w:rsid w:val="00B6211A"/>
    <w:rsid w:val="00B62208"/>
    <w:rsid w:val="00B623E2"/>
    <w:rsid w:val="00B62DAD"/>
    <w:rsid w:val="00B6392A"/>
    <w:rsid w:val="00B63CC8"/>
    <w:rsid w:val="00B64743"/>
    <w:rsid w:val="00B65416"/>
    <w:rsid w:val="00B65C7D"/>
    <w:rsid w:val="00B67562"/>
    <w:rsid w:val="00B709A7"/>
    <w:rsid w:val="00B709DC"/>
    <w:rsid w:val="00B710DB"/>
    <w:rsid w:val="00B716D9"/>
    <w:rsid w:val="00B7178F"/>
    <w:rsid w:val="00B72287"/>
    <w:rsid w:val="00B72526"/>
    <w:rsid w:val="00B725DE"/>
    <w:rsid w:val="00B73637"/>
    <w:rsid w:val="00B746EC"/>
    <w:rsid w:val="00B748A7"/>
    <w:rsid w:val="00B74B1E"/>
    <w:rsid w:val="00B74C71"/>
    <w:rsid w:val="00B74D1B"/>
    <w:rsid w:val="00B751CB"/>
    <w:rsid w:val="00B757C1"/>
    <w:rsid w:val="00B75BD3"/>
    <w:rsid w:val="00B7770B"/>
    <w:rsid w:val="00B800F8"/>
    <w:rsid w:val="00B80C03"/>
    <w:rsid w:val="00B81B4B"/>
    <w:rsid w:val="00B82201"/>
    <w:rsid w:val="00B82E72"/>
    <w:rsid w:val="00B82E9A"/>
    <w:rsid w:val="00B83B11"/>
    <w:rsid w:val="00B83C13"/>
    <w:rsid w:val="00B83DB4"/>
    <w:rsid w:val="00B83E82"/>
    <w:rsid w:val="00B85AC6"/>
    <w:rsid w:val="00B86588"/>
    <w:rsid w:val="00B86972"/>
    <w:rsid w:val="00B87322"/>
    <w:rsid w:val="00B878F2"/>
    <w:rsid w:val="00B91528"/>
    <w:rsid w:val="00B9191B"/>
    <w:rsid w:val="00B938F5"/>
    <w:rsid w:val="00B93EF1"/>
    <w:rsid w:val="00B9406B"/>
    <w:rsid w:val="00B94D80"/>
    <w:rsid w:val="00B94F01"/>
    <w:rsid w:val="00B95718"/>
    <w:rsid w:val="00B97481"/>
    <w:rsid w:val="00B97849"/>
    <w:rsid w:val="00B97AF1"/>
    <w:rsid w:val="00BA0E08"/>
    <w:rsid w:val="00BA17F1"/>
    <w:rsid w:val="00BA18E8"/>
    <w:rsid w:val="00BA1992"/>
    <w:rsid w:val="00BA1A29"/>
    <w:rsid w:val="00BA2097"/>
    <w:rsid w:val="00BA210B"/>
    <w:rsid w:val="00BA2178"/>
    <w:rsid w:val="00BA218D"/>
    <w:rsid w:val="00BA233A"/>
    <w:rsid w:val="00BA29CE"/>
    <w:rsid w:val="00BA2D89"/>
    <w:rsid w:val="00BA4B26"/>
    <w:rsid w:val="00BA5015"/>
    <w:rsid w:val="00BA5942"/>
    <w:rsid w:val="00BA6DDC"/>
    <w:rsid w:val="00BB115D"/>
    <w:rsid w:val="00BB1185"/>
    <w:rsid w:val="00BB1883"/>
    <w:rsid w:val="00BB26D4"/>
    <w:rsid w:val="00BB27C6"/>
    <w:rsid w:val="00BB3018"/>
    <w:rsid w:val="00BB43E6"/>
    <w:rsid w:val="00BB4715"/>
    <w:rsid w:val="00BB5130"/>
    <w:rsid w:val="00BB52BA"/>
    <w:rsid w:val="00BB57FF"/>
    <w:rsid w:val="00BB5DA2"/>
    <w:rsid w:val="00BB6A2B"/>
    <w:rsid w:val="00BB7123"/>
    <w:rsid w:val="00BB75CA"/>
    <w:rsid w:val="00BC05E9"/>
    <w:rsid w:val="00BC2319"/>
    <w:rsid w:val="00BC2E77"/>
    <w:rsid w:val="00BC358C"/>
    <w:rsid w:val="00BC477D"/>
    <w:rsid w:val="00BC5394"/>
    <w:rsid w:val="00BC74B7"/>
    <w:rsid w:val="00BC7CAC"/>
    <w:rsid w:val="00BD06DA"/>
    <w:rsid w:val="00BD1273"/>
    <w:rsid w:val="00BD1486"/>
    <w:rsid w:val="00BD1D7E"/>
    <w:rsid w:val="00BD2836"/>
    <w:rsid w:val="00BD3F90"/>
    <w:rsid w:val="00BD440B"/>
    <w:rsid w:val="00BD48F6"/>
    <w:rsid w:val="00BD4AB6"/>
    <w:rsid w:val="00BD77DE"/>
    <w:rsid w:val="00BD7E60"/>
    <w:rsid w:val="00BE01AD"/>
    <w:rsid w:val="00BE1333"/>
    <w:rsid w:val="00BE2847"/>
    <w:rsid w:val="00BE4632"/>
    <w:rsid w:val="00BE49A7"/>
    <w:rsid w:val="00BE571E"/>
    <w:rsid w:val="00BE57B1"/>
    <w:rsid w:val="00BE5A14"/>
    <w:rsid w:val="00BE5ABB"/>
    <w:rsid w:val="00BE5BF2"/>
    <w:rsid w:val="00BE6E05"/>
    <w:rsid w:val="00BE6E35"/>
    <w:rsid w:val="00BE770F"/>
    <w:rsid w:val="00BF0A2E"/>
    <w:rsid w:val="00BF0B74"/>
    <w:rsid w:val="00BF0FD3"/>
    <w:rsid w:val="00BF1A52"/>
    <w:rsid w:val="00BF1C27"/>
    <w:rsid w:val="00BF1CE3"/>
    <w:rsid w:val="00BF28D9"/>
    <w:rsid w:val="00BF2B1F"/>
    <w:rsid w:val="00BF4B48"/>
    <w:rsid w:val="00BF5D15"/>
    <w:rsid w:val="00BF6176"/>
    <w:rsid w:val="00BF73BF"/>
    <w:rsid w:val="00BF74AE"/>
    <w:rsid w:val="00BF74E8"/>
    <w:rsid w:val="00BF7967"/>
    <w:rsid w:val="00C00852"/>
    <w:rsid w:val="00C010FF"/>
    <w:rsid w:val="00C015B4"/>
    <w:rsid w:val="00C016B4"/>
    <w:rsid w:val="00C01CAD"/>
    <w:rsid w:val="00C02183"/>
    <w:rsid w:val="00C021FA"/>
    <w:rsid w:val="00C02BE8"/>
    <w:rsid w:val="00C030ED"/>
    <w:rsid w:val="00C03109"/>
    <w:rsid w:val="00C0339F"/>
    <w:rsid w:val="00C04B60"/>
    <w:rsid w:val="00C05168"/>
    <w:rsid w:val="00C05506"/>
    <w:rsid w:val="00C05D03"/>
    <w:rsid w:val="00C06837"/>
    <w:rsid w:val="00C077E1"/>
    <w:rsid w:val="00C1027C"/>
    <w:rsid w:val="00C108D0"/>
    <w:rsid w:val="00C1291B"/>
    <w:rsid w:val="00C13902"/>
    <w:rsid w:val="00C14046"/>
    <w:rsid w:val="00C14315"/>
    <w:rsid w:val="00C14968"/>
    <w:rsid w:val="00C153B7"/>
    <w:rsid w:val="00C15B5B"/>
    <w:rsid w:val="00C15C23"/>
    <w:rsid w:val="00C16C3C"/>
    <w:rsid w:val="00C2173A"/>
    <w:rsid w:val="00C222D1"/>
    <w:rsid w:val="00C2242A"/>
    <w:rsid w:val="00C22BEF"/>
    <w:rsid w:val="00C2335C"/>
    <w:rsid w:val="00C23570"/>
    <w:rsid w:val="00C2371C"/>
    <w:rsid w:val="00C2476B"/>
    <w:rsid w:val="00C268FC"/>
    <w:rsid w:val="00C26C9F"/>
    <w:rsid w:val="00C30B33"/>
    <w:rsid w:val="00C30CAB"/>
    <w:rsid w:val="00C3122C"/>
    <w:rsid w:val="00C3199B"/>
    <w:rsid w:val="00C32E57"/>
    <w:rsid w:val="00C33582"/>
    <w:rsid w:val="00C340F0"/>
    <w:rsid w:val="00C34576"/>
    <w:rsid w:val="00C34AFD"/>
    <w:rsid w:val="00C35635"/>
    <w:rsid w:val="00C35EDC"/>
    <w:rsid w:val="00C36C98"/>
    <w:rsid w:val="00C36E93"/>
    <w:rsid w:val="00C40C2E"/>
    <w:rsid w:val="00C40F76"/>
    <w:rsid w:val="00C41945"/>
    <w:rsid w:val="00C41C05"/>
    <w:rsid w:val="00C4357B"/>
    <w:rsid w:val="00C43B73"/>
    <w:rsid w:val="00C43BB0"/>
    <w:rsid w:val="00C43D0A"/>
    <w:rsid w:val="00C44546"/>
    <w:rsid w:val="00C4475A"/>
    <w:rsid w:val="00C45769"/>
    <w:rsid w:val="00C46659"/>
    <w:rsid w:val="00C46923"/>
    <w:rsid w:val="00C46A9A"/>
    <w:rsid w:val="00C46D15"/>
    <w:rsid w:val="00C47776"/>
    <w:rsid w:val="00C51307"/>
    <w:rsid w:val="00C51368"/>
    <w:rsid w:val="00C51661"/>
    <w:rsid w:val="00C51D05"/>
    <w:rsid w:val="00C52BC0"/>
    <w:rsid w:val="00C53AA9"/>
    <w:rsid w:val="00C54158"/>
    <w:rsid w:val="00C54817"/>
    <w:rsid w:val="00C54924"/>
    <w:rsid w:val="00C556D4"/>
    <w:rsid w:val="00C55EE6"/>
    <w:rsid w:val="00C572A1"/>
    <w:rsid w:val="00C57AD3"/>
    <w:rsid w:val="00C6108F"/>
    <w:rsid w:val="00C61639"/>
    <w:rsid w:val="00C62032"/>
    <w:rsid w:val="00C62D2B"/>
    <w:rsid w:val="00C64494"/>
    <w:rsid w:val="00C646CE"/>
    <w:rsid w:val="00C64AC6"/>
    <w:rsid w:val="00C64C5F"/>
    <w:rsid w:val="00C64E36"/>
    <w:rsid w:val="00C66BA5"/>
    <w:rsid w:val="00C670B9"/>
    <w:rsid w:val="00C67608"/>
    <w:rsid w:val="00C676B5"/>
    <w:rsid w:val="00C67824"/>
    <w:rsid w:val="00C67AF0"/>
    <w:rsid w:val="00C67D94"/>
    <w:rsid w:val="00C67E6D"/>
    <w:rsid w:val="00C7047D"/>
    <w:rsid w:val="00C70657"/>
    <w:rsid w:val="00C7093D"/>
    <w:rsid w:val="00C70A60"/>
    <w:rsid w:val="00C70BDF"/>
    <w:rsid w:val="00C70F7B"/>
    <w:rsid w:val="00C70FAA"/>
    <w:rsid w:val="00C71486"/>
    <w:rsid w:val="00C716D9"/>
    <w:rsid w:val="00C72726"/>
    <w:rsid w:val="00C74833"/>
    <w:rsid w:val="00C75EE2"/>
    <w:rsid w:val="00C75F67"/>
    <w:rsid w:val="00C76259"/>
    <w:rsid w:val="00C76E57"/>
    <w:rsid w:val="00C770F5"/>
    <w:rsid w:val="00C772A9"/>
    <w:rsid w:val="00C77ECD"/>
    <w:rsid w:val="00C82387"/>
    <w:rsid w:val="00C82E96"/>
    <w:rsid w:val="00C83634"/>
    <w:rsid w:val="00C83A98"/>
    <w:rsid w:val="00C83EFB"/>
    <w:rsid w:val="00C84949"/>
    <w:rsid w:val="00C84DAB"/>
    <w:rsid w:val="00C850AD"/>
    <w:rsid w:val="00C854E1"/>
    <w:rsid w:val="00C85652"/>
    <w:rsid w:val="00C8646D"/>
    <w:rsid w:val="00C867D3"/>
    <w:rsid w:val="00C86807"/>
    <w:rsid w:val="00C86DF8"/>
    <w:rsid w:val="00C87315"/>
    <w:rsid w:val="00C8772A"/>
    <w:rsid w:val="00C87A96"/>
    <w:rsid w:val="00C90BA9"/>
    <w:rsid w:val="00C92590"/>
    <w:rsid w:val="00C9289D"/>
    <w:rsid w:val="00C93A86"/>
    <w:rsid w:val="00C948CC"/>
    <w:rsid w:val="00C954F7"/>
    <w:rsid w:val="00C95980"/>
    <w:rsid w:val="00C965C7"/>
    <w:rsid w:val="00C9678E"/>
    <w:rsid w:val="00C97342"/>
    <w:rsid w:val="00C97E0B"/>
    <w:rsid w:val="00CA00D3"/>
    <w:rsid w:val="00CA0169"/>
    <w:rsid w:val="00CA041E"/>
    <w:rsid w:val="00CA0979"/>
    <w:rsid w:val="00CA0E97"/>
    <w:rsid w:val="00CA1FA4"/>
    <w:rsid w:val="00CA35AE"/>
    <w:rsid w:val="00CA3DB2"/>
    <w:rsid w:val="00CA4993"/>
    <w:rsid w:val="00CA4D3D"/>
    <w:rsid w:val="00CA4FA0"/>
    <w:rsid w:val="00CA6E5C"/>
    <w:rsid w:val="00CA75FD"/>
    <w:rsid w:val="00CA7A19"/>
    <w:rsid w:val="00CA7F97"/>
    <w:rsid w:val="00CB0C3B"/>
    <w:rsid w:val="00CB0D84"/>
    <w:rsid w:val="00CB0F6A"/>
    <w:rsid w:val="00CB147C"/>
    <w:rsid w:val="00CB2663"/>
    <w:rsid w:val="00CB4A52"/>
    <w:rsid w:val="00CB4AE4"/>
    <w:rsid w:val="00CB4BCD"/>
    <w:rsid w:val="00CB547F"/>
    <w:rsid w:val="00CB5FB4"/>
    <w:rsid w:val="00CB6E35"/>
    <w:rsid w:val="00CB6F67"/>
    <w:rsid w:val="00CB7192"/>
    <w:rsid w:val="00CB7F3A"/>
    <w:rsid w:val="00CC0249"/>
    <w:rsid w:val="00CC0623"/>
    <w:rsid w:val="00CC07CD"/>
    <w:rsid w:val="00CC17AF"/>
    <w:rsid w:val="00CC17D5"/>
    <w:rsid w:val="00CC20E2"/>
    <w:rsid w:val="00CC2D4D"/>
    <w:rsid w:val="00CC4EFF"/>
    <w:rsid w:val="00CC6560"/>
    <w:rsid w:val="00CC7C71"/>
    <w:rsid w:val="00CD0BA4"/>
    <w:rsid w:val="00CD0EB7"/>
    <w:rsid w:val="00CD10ED"/>
    <w:rsid w:val="00CD2D54"/>
    <w:rsid w:val="00CD31A6"/>
    <w:rsid w:val="00CD3392"/>
    <w:rsid w:val="00CD3939"/>
    <w:rsid w:val="00CD3EAE"/>
    <w:rsid w:val="00CD432C"/>
    <w:rsid w:val="00CD43F4"/>
    <w:rsid w:val="00CD4DF2"/>
    <w:rsid w:val="00CD598D"/>
    <w:rsid w:val="00CD6347"/>
    <w:rsid w:val="00CD6460"/>
    <w:rsid w:val="00CD68A3"/>
    <w:rsid w:val="00CD6DD7"/>
    <w:rsid w:val="00CD75B3"/>
    <w:rsid w:val="00CD7681"/>
    <w:rsid w:val="00CD79FF"/>
    <w:rsid w:val="00CE00EA"/>
    <w:rsid w:val="00CE0A5A"/>
    <w:rsid w:val="00CE227E"/>
    <w:rsid w:val="00CE367B"/>
    <w:rsid w:val="00CE4847"/>
    <w:rsid w:val="00CE5090"/>
    <w:rsid w:val="00CE6699"/>
    <w:rsid w:val="00CE7B4F"/>
    <w:rsid w:val="00CE7E48"/>
    <w:rsid w:val="00CF0109"/>
    <w:rsid w:val="00CF0C51"/>
    <w:rsid w:val="00CF0D30"/>
    <w:rsid w:val="00CF2F59"/>
    <w:rsid w:val="00CF391C"/>
    <w:rsid w:val="00CF40D5"/>
    <w:rsid w:val="00CF4A14"/>
    <w:rsid w:val="00CF59C8"/>
    <w:rsid w:val="00CF6BF4"/>
    <w:rsid w:val="00CF6C65"/>
    <w:rsid w:val="00D00A5E"/>
    <w:rsid w:val="00D01EE8"/>
    <w:rsid w:val="00D01F5C"/>
    <w:rsid w:val="00D01FF5"/>
    <w:rsid w:val="00D0288F"/>
    <w:rsid w:val="00D02DE3"/>
    <w:rsid w:val="00D036AE"/>
    <w:rsid w:val="00D04881"/>
    <w:rsid w:val="00D0493F"/>
    <w:rsid w:val="00D05A9C"/>
    <w:rsid w:val="00D05BF2"/>
    <w:rsid w:val="00D05EC3"/>
    <w:rsid w:val="00D066F4"/>
    <w:rsid w:val="00D06C6B"/>
    <w:rsid w:val="00D07BC7"/>
    <w:rsid w:val="00D10477"/>
    <w:rsid w:val="00D10526"/>
    <w:rsid w:val="00D10693"/>
    <w:rsid w:val="00D10995"/>
    <w:rsid w:val="00D1149B"/>
    <w:rsid w:val="00D11A34"/>
    <w:rsid w:val="00D11DFA"/>
    <w:rsid w:val="00D12C15"/>
    <w:rsid w:val="00D13649"/>
    <w:rsid w:val="00D13916"/>
    <w:rsid w:val="00D14471"/>
    <w:rsid w:val="00D15CEA"/>
    <w:rsid w:val="00D17849"/>
    <w:rsid w:val="00D17F34"/>
    <w:rsid w:val="00D2038F"/>
    <w:rsid w:val="00D20821"/>
    <w:rsid w:val="00D20E9F"/>
    <w:rsid w:val="00D21003"/>
    <w:rsid w:val="00D21A86"/>
    <w:rsid w:val="00D2245D"/>
    <w:rsid w:val="00D2284F"/>
    <w:rsid w:val="00D23031"/>
    <w:rsid w:val="00D2309A"/>
    <w:rsid w:val="00D236B4"/>
    <w:rsid w:val="00D251AB"/>
    <w:rsid w:val="00D26C90"/>
    <w:rsid w:val="00D26DDC"/>
    <w:rsid w:val="00D3091D"/>
    <w:rsid w:val="00D323DD"/>
    <w:rsid w:val="00D32892"/>
    <w:rsid w:val="00D32ED8"/>
    <w:rsid w:val="00D33C65"/>
    <w:rsid w:val="00D343CB"/>
    <w:rsid w:val="00D34468"/>
    <w:rsid w:val="00D34EEF"/>
    <w:rsid w:val="00D35B03"/>
    <w:rsid w:val="00D35B7F"/>
    <w:rsid w:val="00D37234"/>
    <w:rsid w:val="00D37FCA"/>
    <w:rsid w:val="00D40614"/>
    <w:rsid w:val="00D4195C"/>
    <w:rsid w:val="00D435BB"/>
    <w:rsid w:val="00D43B00"/>
    <w:rsid w:val="00D43B25"/>
    <w:rsid w:val="00D44579"/>
    <w:rsid w:val="00D4507E"/>
    <w:rsid w:val="00D4538A"/>
    <w:rsid w:val="00D45BCD"/>
    <w:rsid w:val="00D4612C"/>
    <w:rsid w:val="00D464DE"/>
    <w:rsid w:val="00D4713D"/>
    <w:rsid w:val="00D47196"/>
    <w:rsid w:val="00D4733A"/>
    <w:rsid w:val="00D4786B"/>
    <w:rsid w:val="00D50545"/>
    <w:rsid w:val="00D51DC2"/>
    <w:rsid w:val="00D52D24"/>
    <w:rsid w:val="00D52FA3"/>
    <w:rsid w:val="00D53A88"/>
    <w:rsid w:val="00D54B97"/>
    <w:rsid w:val="00D551D9"/>
    <w:rsid w:val="00D5551E"/>
    <w:rsid w:val="00D56FF0"/>
    <w:rsid w:val="00D57D15"/>
    <w:rsid w:val="00D57F64"/>
    <w:rsid w:val="00D601D6"/>
    <w:rsid w:val="00D60294"/>
    <w:rsid w:val="00D606EA"/>
    <w:rsid w:val="00D610DA"/>
    <w:rsid w:val="00D61508"/>
    <w:rsid w:val="00D6170F"/>
    <w:rsid w:val="00D61A02"/>
    <w:rsid w:val="00D61B3F"/>
    <w:rsid w:val="00D62AA9"/>
    <w:rsid w:val="00D632EE"/>
    <w:rsid w:val="00D63AA5"/>
    <w:rsid w:val="00D6639E"/>
    <w:rsid w:val="00D666E4"/>
    <w:rsid w:val="00D66F6A"/>
    <w:rsid w:val="00D66F88"/>
    <w:rsid w:val="00D67EF1"/>
    <w:rsid w:val="00D70A61"/>
    <w:rsid w:val="00D70C5A"/>
    <w:rsid w:val="00D70C68"/>
    <w:rsid w:val="00D70DE4"/>
    <w:rsid w:val="00D70E5E"/>
    <w:rsid w:val="00D75866"/>
    <w:rsid w:val="00D75939"/>
    <w:rsid w:val="00D7644D"/>
    <w:rsid w:val="00D76FFF"/>
    <w:rsid w:val="00D773D9"/>
    <w:rsid w:val="00D7750A"/>
    <w:rsid w:val="00D809D2"/>
    <w:rsid w:val="00D810E4"/>
    <w:rsid w:val="00D8283C"/>
    <w:rsid w:val="00D83338"/>
    <w:rsid w:val="00D83D04"/>
    <w:rsid w:val="00D83FFC"/>
    <w:rsid w:val="00D8466F"/>
    <w:rsid w:val="00D84744"/>
    <w:rsid w:val="00D8529D"/>
    <w:rsid w:val="00D8596B"/>
    <w:rsid w:val="00D8662F"/>
    <w:rsid w:val="00D87176"/>
    <w:rsid w:val="00D87617"/>
    <w:rsid w:val="00D90166"/>
    <w:rsid w:val="00D903BC"/>
    <w:rsid w:val="00D90518"/>
    <w:rsid w:val="00D907E3"/>
    <w:rsid w:val="00D9090C"/>
    <w:rsid w:val="00D90DA5"/>
    <w:rsid w:val="00D920E0"/>
    <w:rsid w:val="00D92B57"/>
    <w:rsid w:val="00D9533D"/>
    <w:rsid w:val="00D965FF"/>
    <w:rsid w:val="00D96975"/>
    <w:rsid w:val="00D97056"/>
    <w:rsid w:val="00D9742C"/>
    <w:rsid w:val="00D97B3E"/>
    <w:rsid w:val="00D97B4D"/>
    <w:rsid w:val="00DA0901"/>
    <w:rsid w:val="00DA0F3E"/>
    <w:rsid w:val="00DA1888"/>
    <w:rsid w:val="00DA19F0"/>
    <w:rsid w:val="00DA2095"/>
    <w:rsid w:val="00DA21B8"/>
    <w:rsid w:val="00DA2C43"/>
    <w:rsid w:val="00DA2D59"/>
    <w:rsid w:val="00DA2F4F"/>
    <w:rsid w:val="00DA325D"/>
    <w:rsid w:val="00DA4201"/>
    <w:rsid w:val="00DA4287"/>
    <w:rsid w:val="00DA44BB"/>
    <w:rsid w:val="00DA4A14"/>
    <w:rsid w:val="00DA4B53"/>
    <w:rsid w:val="00DA58DB"/>
    <w:rsid w:val="00DA5E29"/>
    <w:rsid w:val="00DA5FF1"/>
    <w:rsid w:val="00DA63B9"/>
    <w:rsid w:val="00DA6A80"/>
    <w:rsid w:val="00DA7457"/>
    <w:rsid w:val="00DA76AC"/>
    <w:rsid w:val="00DB09AC"/>
    <w:rsid w:val="00DB0E6D"/>
    <w:rsid w:val="00DB12AF"/>
    <w:rsid w:val="00DB20F8"/>
    <w:rsid w:val="00DB2301"/>
    <w:rsid w:val="00DB2779"/>
    <w:rsid w:val="00DB2D1A"/>
    <w:rsid w:val="00DB3743"/>
    <w:rsid w:val="00DB4245"/>
    <w:rsid w:val="00DB44A5"/>
    <w:rsid w:val="00DB4814"/>
    <w:rsid w:val="00DB53A0"/>
    <w:rsid w:val="00DB55A4"/>
    <w:rsid w:val="00DB58D9"/>
    <w:rsid w:val="00DB6368"/>
    <w:rsid w:val="00DB6723"/>
    <w:rsid w:val="00DB7E95"/>
    <w:rsid w:val="00DC09B6"/>
    <w:rsid w:val="00DC0AD4"/>
    <w:rsid w:val="00DC0B56"/>
    <w:rsid w:val="00DC0D2C"/>
    <w:rsid w:val="00DC2179"/>
    <w:rsid w:val="00DC2218"/>
    <w:rsid w:val="00DC25FA"/>
    <w:rsid w:val="00DC3B15"/>
    <w:rsid w:val="00DC3ED4"/>
    <w:rsid w:val="00DC4D5F"/>
    <w:rsid w:val="00DC4E03"/>
    <w:rsid w:val="00DC58F4"/>
    <w:rsid w:val="00DC6B65"/>
    <w:rsid w:val="00DC7090"/>
    <w:rsid w:val="00DC7356"/>
    <w:rsid w:val="00DC7B16"/>
    <w:rsid w:val="00DD0215"/>
    <w:rsid w:val="00DD0231"/>
    <w:rsid w:val="00DD0321"/>
    <w:rsid w:val="00DD0358"/>
    <w:rsid w:val="00DD12EE"/>
    <w:rsid w:val="00DD1461"/>
    <w:rsid w:val="00DD243A"/>
    <w:rsid w:val="00DD2478"/>
    <w:rsid w:val="00DD3428"/>
    <w:rsid w:val="00DD36A3"/>
    <w:rsid w:val="00DD4835"/>
    <w:rsid w:val="00DD484E"/>
    <w:rsid w:val="00DD57DD"/>
    <w:rsid w:val="00DD61AA"/>
    <w:rsid w:val="00DD71D4"/>
    <w:rsid w:val="00DD7CEA"/>
    <w:rsid w:val="00DD7D06"/>
    <w:rsid w:val="00DE082C"/>
    <w:rsid w:val="00DE0E7D"/>
    <w:rsid w:val="00DE1B7D"/>
    <w:rsid w:val="00DE2B2C"/>
    <w:rsid w:val="00DE301F"/>
    <w:rsid w:val="00DE3EDD"/>
    <w:rsid w:val="00DE3FD9"/>
    <w:rsid w:val="00DE4080"/>
    <w:rsid w:val="00DE40D7"/>
    <w:rsid w:val="00DE43E6"/>
    <w:rsid w:val="00DE4726"/>
    <w:rsid w:val="00DE5253"/>
    <w:rsid w:val="00DE5D90"/>
    <w:rsid w:val="00DE75A4"/>
    <w:rsid w:val="00DE77A4"/>
    <w:rsid w:val="00DE7D7C"/>
    <w:rsid w:val="00DE7E19"/>
    <w:rsid w:val="00DF0241"/>
    <w:rsid w:val="00DF046E"/>
    <w:rsid w:val="00DF0994"/>
    <w:rsid w:val="00DF136D"/>
    <w:rsid w:val="00DF14F7"/>
    <w:rsid w:val="00DF1EFD"/>
    <w:rsid w:val="00DF31FF"/>
    <w:rsid w:val="00DF32A8"/>
    <w:rsid w:val="00DF3C05"/>
    <w:rsid w:val="00DF3FB0"/>
    <w:rsid w:val="00DF4976"/>
    <w:rsid w:val="00DF49E0"/>
    <w:rsid w:val="00DF4CF1"/>
    <w:rsid w:val="00DF50FF"/>
    <w:rsid w:val="00DF5A87"/>
    <w:rsid w:val="00DF654E"/>
    <w:rsid w:val="00DF710B"/>
    <w:rsid w:val="00DF7153"/>
    <w:rsid w:val="00E001D3"/>
    <w:rsid w:val="00E002FB"/>
    <w:rsid w:val="00E00530"/>
    <w:rsid w:val="00E00F9B"/>
    <w:rsid w:val="00E01398"/>
    <w:rsid w:val="00E01C3C"/>
    <w:rsid w:val="00E01FF5"/>
    <w:rsid w:val="00E031FF"/>
    <w:rsid w:val="00E033C4"/>
    <w:rsid w:val="00E04139"/>
    <w:rsid w:val="00E054D3"/>
    <w:rsid w:val="00E056E7"/>
    <w:rsid w:val="00E0589D"/>
    <w:rsid w:val="00E06565"/>
    <w:rsid w:val="00E110B7"/>
    <w:rsid w:val="00E114FA"/>
    <w:rsid w:val="00E1243B"/>
    <w:rsid w:val="00E1280D"/>
    <w:rsid w:val="00E13BD8"/>
    <w:rsid w:val="00E156B5"/>
    <w:rsid w:val="00E15AAD"/>
    <w:rsid w:val="00E16206"/>
    <w:rsid w:val="00E166A0"/>
    <w:rsid w:val="00E166EF"/>
    <w:rsid w:val="00E171A6"/>
    <w:rsid w:val="00E171D9"/>
    <w:rsid w:val="00E17D46"/>
    <w:rsid w:val="00E2027B"/>
    <w:rsid w:val="00E20BA6"/>
    <w:rsid w:val="00E21E55"/>
    <w:rsid w:val="00E22456"/>
    <w:rsid w:val="00E2267F"/>
    <w:rsid w:val="00E2323D"/>
    <w:rsid w:val="00E23B07"/>
    <w:rsid w:val="00E23B22"/>
    <w:rsid w:val="00E24EF3"/>
    <w:rsid w:val="00E250CF"/>
    <w:rsid w:val="00E25F57"/>
    <w:rsid w:val="00E26108"/>
    <w:rsid w:val="00E266AD"/>
    <w:rsid w:val="00E27308"/>
    <w:rsid w:val="00E274B1"/>
    <w:rsid w:val="00E278B9"/>
    <w:rsid w:val="00E27BEA"/>
    <w:rsid w:val="00E30902"/>
    <w:rsid w:val="00E30FDF"/>
    <w:rsid w:val="00E31C0E"/>
    <w:rsid w:val="00E31FFC"/>
    <w:rsid w:val="00E32FA4"/>
    <w:rsid w:val="00E33080"/>
    <w:rsid w:val="00E34A19"/>
    <w:rsid w:val="00E34E19"/>
    <w:rsid w:val="00E36E9A"/>
    <w:rsid w:val="00E37726"/>
    <w:rsid w:val="00E37D54"/>
    <w:rsid w:val="00E40087"/>
    <w:rsid w:val="00E401B0"/>
    <w:rsid w:val="00E406F0"/>
    <w:rsid w:val="00E413D4"/>
    <w:rsid w:val="00E4176A"/>
    <w:rsid w:val="00E41977"/>
    <w:rsid w:val="00E41B4B"/>
    <w:rsid w:val="00E41F8C"/>
    <w:rsid w:val="00E43E27"/>
    <w:rsid w:val="00E4462D"/>
    <w:rsid w:val="00E45145"/>
    <w:rsid w:val="00E458DF"/>
    <w:rsid w:val="00E45DF7"/>
    <w:rsid w:val="00E46629"/>
    <w:rsid w:val="00E4678F"/>
    <w:rsid w:val="00E47FA4"/>
    <w:rsid w:val="00E50D7A"/>
    <w:rsid w:val="00E528C8"/>
    <w:rsid w:val="00E53A66"/>
    <w:rsid w:val="00E53A69"/>
    <w:rsid w:val="00E545D1"/>
    <w:rsid w:val="00E55054"/>
    <w:rsid w:val="00E559B2"/>
    <w:rsid w:val="00E56D19"/>
    <w:rsid w:val="00E57377"/>
    <w:rsid w:val="00E57672"/>
    <w:rsid w:val="00E57A3A"/>
    <w:rsid w:val="00E60BC7"/>
    <w:rsid w:val="00E60C4D"/>
    <w:rsid w:val="00E622EF"/>
    <w:rsid w:val="00E624DA"/>
    <w:rsid w:val="00E62CDF"/>
    <w:rsid w:val="00E63624"/>
    <w:rsid w:val="00E637AC"/>
    <w:rsid w:val="00E63D92"/>
    <w:rsid w:val="00E63DAC"/>
    <w:rsid w:val="00E66C33"/>
    <w:rsid w:val="00E66D7D"/>
    <w:rsid w:val="00E677EC"/>
    <w:rsid w:val="00E70082"/>
    <w:rsid w:val="00E703D5"/>
    <w:rsid w:val="00E71608"/>
    <w:rsid w:val="00E71D8F"/>
    <w:rsid w:val="00E732FA"/>
    <w:rsid w:val="00E73F25"/>
    <w:rsid w:val="00E757D9"/>
    <w:rsid w:val="00E7625F"/>
    <w:rsid w:val="00E76890"/>
    <w:rsid w:val="00E7696D"/>
    <w:rsid w:val="00E76FD7"/>
    <w:rsid w:val="00E77002"/>
    <w:rsid w:val="00E8090B"/>
    <w:rsid w:val="00E80B51"/>
    <w:rsid w:val="00E81D98"/>
    <w:rsid w:val="00E81E5B"/>
    <w:rsid w:val="00E83763"/>
    <w:rsid w:val="00E840B4"/>
    <w:rsid w:val="00E84FBC"/>
    <w:rsid w:val="00E85DD6"/>
    <w:rsid w:val="00E86E61"/>
    <w:rsid w:val="00E87834"/>
    <w:rsid w:val="00E90921"/>
    <w:rsid w:val="00E90D9E"/>
    <w:rsid w:val="00E913EB"/>
    <w:rsid w:val="00E9403E"/>
    <w:rsid w:val="00E95ACC"/>
    <w:rsid w:val="00E96879"/>
    <w:rsid w:val="00E973B9"/>
    <w:rsid w:val="00E9753E"/>
    <w:rsid w:val="00E97626"/>
    <w:rsid w:val="00E97A0F"/>
    <w:rsid w:val="00EA17AF"/>
    <w:rsid w:val="00EA264E"/>
    <w:rsid w:val="00EA2696"/>
    <w:rsid w:val="00EA26B5"/>
    <w:rsid w:val="00EA2A5E"/>
    <w:rsid w:val="00EA30AD"/>
    <w:rsid w:val="00EA3F0C"/>
    <w:rsid w:val="00EA3FA7"/>
    <w:rsid w:val="00EA4C0E"/>
    <w:rsid w:val="00EA4D9F"/>
    <w:rsid w:val="00EA6609"/>
    <w:rsid w:val="00EB097D"/>
    <w:rsid w:val="00EB0B74"/>
    <w:rsid w:val="00EB2100"/>
    <w:rsid w:val="00EB24AC"/>
    <w:rsid w:val="00EB2748"/>
    <w:rsid w:val="00EB46E8"/>
    <w:rsid w:val="00EB58BB"/>
    <w:rsid w:val="00EB5DFA"/>
    <w:rsid w:val="00EB6896"/>
    <w:rsid w:val="00EB7254"/>
    <w:rsid w:val="00EB7C38"/>
    <w:rsid w:val="00EC0B75"/>
    <w:rsid w:val="00EC12DC"/>
    <w:rsid w:val="00EC2B45"/>
    <w:rsid w:val="00EC39F2"/>
    <w:rsid w:val="00EC55DA"/>
    <w:rsid w:val="00EC6F21"/>
    <w:rsid w:val="00EC7681"/>
    <w:rsid w:val="00EC784F"/>
    <w:rsid w:val="00EC7A67"/>
    <w:rsid w:val="00ED0267"/>
    <w:rsid w:val="00ED2825"/>
    <w:rsid w:val="00ED2B20"/>
    <w:rsid w:val="00ED3656"/>
    <w:rsid w:val="00ED4301"/>
    <w:rsid w:val="00ED49ED"/>
    <w:rsid w:val="00ED516D"/>
    <w:rsid w:val="00ED54B1"/>
    <w:rsid w:val="00ED5AED"/>
    <w:rsid w:val="00ED6660"/>
    <w:rsid w:val="00ED7153"/>
    <w:rsid w:val="00ED71F6"/>
    <w:rsid w:val="00ED72A3"/>
    <w:rsid w:val="00ED7944"/>
    <w:rsid w:val="00ED7CB6"/>
    <w:rsid w:val="00ED7E71"/>
    <w:rsid w:val="00EE00F8"/>
    <w:rsid w:val="00EE1597"/>
    <w:rsid w:val="00EE172E"/>
    <w:rsid w:val="00EE1AE7"/>
    <w:rsid w:val="00EE3528"/>
    <w:rsid w:val="00EE38F8"/>
    <w:rsid w:val="00EE3C5D"/>
    <w:rsid w:val="00EE4658"/>
    <w:rsid w:val="00EE7082"/>
    <w:rsid w:val="00EE7171"/>
    <w:rsid w:val="00EE769C"/>
    <w:rsid w:val="00EE7B1C"/>
    <w:rsid w:val="00EF054D"/>
    <w:rsid w:val="00EF078B"/>
    <w:rsid w:val="00EF0813"/>
    <w:rsid w:val="00EF0F2B"/>
    <w:rsid w:val="00EF128D"/>
    <w:rsid w:val="00EF14CF"/>
    <w:rsid w:val="00EF3F04"/>
    <w:rsid w:val="00EF489D"/>
    <w:rsid w:val="00EF59DA"/>
    <w:rsid w:val="00EF5E79"/>
    <w:rsid w:val="00EF5EFF"/>
    <w:rsid w:val="00EF610B"/>
    <w:rsid w:val="00EF62E3"/>
    <w:rsid w:val="00EF6D23"/>
    <w:rsid w:val="00EF7AA0"/>
    <w:rsid w:val="00EF7B12"/>
    <w:rsid w:val="00EF7BEA"/>
    <w:rsid w:val="00F008A9"/>
    <w:rsid w:val="00F011B6"/>
    <w:rsid w:val="00F0130C"/>
    <w:rsid w:val="00F01E0F"/>
    <w:rsid w:val="00F02749"/>
    <w:rsid w:val="00F02CE9"/>
    <w:rsid w:val="00F0338E"/>
    <w:rsid w:val="00F034E9"/>
    <w:rsid w:val="00F037EF"/>
    <w:rsid w:val="00F0394C"/>
    <w:rsid w:val="00F0668A"/>
    <w:rsid w:val="00F06EEF"/>
    <w:rsid w:val="00F112A6"/>
    <w:rsid w:val="00F1143A"/>
    <w:rsid w:val="00F119DB"/>
    <w:rsid w:val="00F1202B"/>
    <w:rsid w:val="00F128FB"/>
    <w:rsid w:val="00F141B2"/>
    <w:rsid w:val="00F14214"/>
    <w:rsid w:val="00F1449B"/>
    <w:rsid w:val="00F15D5B"/>
    <w:rsid w:val="00F16442"/>
    <w:rsid w:val="00F16659"/>
    <w:rsid w:val="00F168F6"/>
    <w:rsid w:val="00F16E36"/>
    <w:rsid w:val="00F17B36"/>
    <w:rsid w:val="00F17D51"/>
    <w:rsid w:val="00F20CCA"/>
    <w:rsid w:val="00F211E4"/>
    <w:rsid w:val="00F213B1"/>
    <w:rsid w:val="00F21ACE"/>
    <w:rsid w:val="00F239CB"/>
    <w:rsid w:val="00F23CAC"/>
    <w:rsid w:val="00F23E0A"/>
    <w:rsid w:val="00F23F77"/>
    <w:rsid w:val="00F23FBF"/>
    <w:rsid w:val="00F244CE"/>
    <w:rsid w:val="00F24BA7"/>
    <w:rsid w:val="00F24CBF"/>
    <w:rsid w:val="00F2523C"/>
    <w:rsid w:val="00F2570C"/>
    <w:rsid w:val="00F259F5"/>
    <w:rsid w:val="00F25D93"/>
    <w:rsid w:val="00F26059"/>
    <w:rsid w:val="00F26104"/>
    <w:rsid w:val="00F26729"/>
    <w:rsid w:val="00F27BD2"/>
    <w:rsid w:val="00F3071F"/>
    <w:rsid w:val="00F30900"/>
    <w:rsid w:val="00F30A7D"/>
    <w:rsid w:val="00F31AA5"/>
    <w:rsid w:val="00F31B47"/>
    <w:rsid w:val="00F32453"/>
    <w:rsid w:val="00F34B8E"/>
    <w:rsid w:val="00F35789"/>
    <w:rsid w:val="00F3621E"/>
    <w:rsid w:val="00F36B17"/>
    <w:rsid w:val="00F36E3E"/>
    <w:rsid w:val="00F37086"/>
    <w:rsid w:val="00F41468"/>
    <w:rsid w:val="00F4272C"/>
    <w:rsid w:val="00F429CA"/>
    <w:rsid w:val="00F4304C"/>
    <w:rsid w:val="00F436C3"/>
    <w:rsid w:val="00F4450C"/>
    <w:rsid w:val="00F4569E"/>
    <w:rsid w:val="00F465DF"/>
    <w:rsid w:val="00F46CEC"/>
    <w:rsid w:val="00F46E28"/>
    <w:rsid w:val="00F47618"/>
    <w:rsid w:val="00F47E77"/>
    <w:rsid w:val="00F510CA"/>
    <w:rsid w:val="00F5116E"/>
    <w:rsid w:val="00F525AE"/>
    <w:rsid w:val="00F5270F"/>
    <w:rsid w:val="00F52D22"/>
    <w:rsid w:val="00F54198"/>
    <w:rsid w:val="00F54AC4"/>
    <w:rsid w:val="00F55125"/>
    <w:rsid w:val="00F551F0"/>
    <w:rsid w:val="00F56638"/>
    <w:rsid w:val="00F57F47"/>
    <w:rsid w:val="00F60382"/>
    <w:rsid w:val="00F606A1"/>
    <w:rsid w:val="00F607C8"/>
    <w:rsid w:val="00F622A5"/>
    <w:rsid w:val="00F625E6"/>
    <w:rsid w:val="00F629A8"/>
    <w:rsid w:val="00F6325F"/>
    <w:rsid w:val="00F6336F"/>
    <w:rsid w:val="00F63525"/>
    <w:rsid w:val="00F64017"/>
    <w:rsid w:val="00F650F3"/>
    <w:rsid w:val="00F651E0"/>
    <w:rsid w:val="00F653A0"/>
    <w:rsid w:val="00F658E4"/>
    <w:rsid w:val="00F66ED5"/>
    <w:rsid w:val="00F671DB"/>
    <w:rsid w:val="00F70FE9"/>
    <w:rsid w:val="00F711BD"/>
    <w:rsid w:val="00F71E4C"/>
    <w:rsid w:val="00F722FB"/>
    <w:rsid w:val="00F7298D"/>
    <w:rsid w:val="00F734CD"/>
    <w:rsid w:val="00F74393"/>
    <w:rsid w:val="00F74AF8"/>
    <w:rsid w:val="00F74E28"/>
    <w:rsid w:val="00F75044"/>
    <w:rsid w:val="00F7594B"/>
    <w:rsid w:val="00F75BF3"/>
    <w:rsid w:val="00F774D0"/>
    <w:rsid w:val="00F81281"/>
    <w:rsid w:val="00F81883"/>
    <w:rsid w:val="00F824E4"/>
    <w:rsid w:val="00F8255E"/>
    <w:rsid w:val="00F83815"/>
    <w:rsid w:val="00F84A11"/>
    <w:rsid w:val="00F84A5F"/>
    <w:rsid w:val="00F84E2F"/>
    <w:rsid w:val="00F85A4F"/>
    <w:rsid w:val="00F8616F"/>
    <w:rsid w:val="00F863C0"/>
    <w:rsid w:val="00F86E79"/>
    <w:rsid w:val="00F87041"/>
    <w:rsid w:val="00F8797C"/>
    <w:rsid w:val="00F87A25"/>
    <w:rsid w:val="00F90D21"/>
    <w:rsid w:val="00F91278"/>
    <w:rsid w:val="00F91EE9"/>
    <w:rsid w:val="00F91F94"/>
    <w:rsid w:val="00F92521"/>
    <w:rsid w:val="00F928F1"/>
    <w:rsid w:val="00F92F9D"/>
    <w:rsid w:val="00F93222"/>
    <w:rsid w:val="00F940E2"/>
    <w:rsid w:val="00F940EE"/>
    <w:rsid w:val="00F94181"/>
    <w:rsid w:val="00F9487D"/>
    <w:rsid w:val="00F94B61"/>
    <w:rsid w:val="00F95007"/>
    <w:rsid w:val="00F95093"/>
    <w:rsid w:val="00F95185"/>
    <w:rsid w:val="00F952DB"/>
    <w:rsid w:val="00F95520"/>
    <w:rsid w:val="00F9566C"/>
    <w:rsid w:val="00F970C8"/>
    <w:rsid w:val="00FA0C4C"/>
    <w:rsid w:val="00FA1664"/>
    <w:rsid w:val="00FA1D6A"/>
    <w:rsid w:val="00FA1FD1"/>
    <w:rsid w:val="00FA2CD5"/>
    <w:rsid w:val="00FA2FD8"/>
    <w:rsid w:val="00FA34BB"/>
    <w:rsid w:val="00FA39FB"/>
    <w:rsid w:val="00FA49FA"/>
    <w:rsid w:val="00FA4CFC"/>
    <w:rsid w:val="00FA544E"/>
    <w:rsid w:val="00FA557C"/>
    <w:rsid w:val="00FA5EA4"/>
    <w:rsid w:val="00FA5F6B"/>
    <w:rsid w:val="00FA67B3"/>
    <w:rsid w:val="00FA6BD5"/>
    <w:rsid w:val="00FA7868"/>
    <w:rsid w:val="00FA7C36"/>
    <w:rsid w:val="00FB0262"/>
    <w:rsid w:val="00FB16FE"/>
    <w:rsid w:val="00FB279B"/>
    <w:rsid w:val="00FB2EB7"/>
    <w:rsid w:val="00FB3466"/>
    <w:rsid w:val="00FB3900"/>
    <w:rsid w:val="00FB3998"/>
    <w:rsid w:val="00FB3F4E"/>
    <w:rsid w:val="00FB428D"/>
    <w:rsid w:val="00FB4740"/>
    <w:rsid w:val="00FB4DAF"/>
    <w:rsid w:val="00FB525D"/>
    <w:rsid w:val="00FB59F1"/>
    <w:rsid w:val="00FB5AA3"/>
    <w:rsid w:val="00FB6854"/>
    <w:rsid w:val="00FB714B"/>
    <w:rsid w:val="00FB71A8"/>
    <w:rsid w:val="00FB7929"/>
    <w:rsid w:val="00FB7DD9"/>
    <w:rsid w:val="00FB7F2B"/>
    <w:rsid w:val="00FC024F"/>
    <w:rsid w:val="00FC0A3D"/>
    <w:rsid w:val="00FC0BE4"/>
    <w:rsid w:val="00FC0E2E"/>
    <w:rsid w:val="00FC0E5C"/>
    <w:rsid w:val="00FC1577"/>
    <w:rsid w:val="00FC2352"/>
    <w:rsid w:val="00FC2820"/>
    <w:rsid w:val="00FC2CDD"/>
    <w:rsid w:val="00FC33CF"/>
    <w:rsid w:val="00FC3958"/>
    <w:rsid w:val="00FC4657"/>
    <w:rsid w:val="00FC48AF"/>
    <w:rsid w:val="00FC4A3A"/>
    <w:rsid w:val="00FC643A"/>
    <w:rsid w:val="00FC6976"/>
    <w:rsid w:val="00FC6E06"/>
    <w:rsid w:val="00FC7BC0"/>
    <w:rsid w:val="00FD00F7"/>
    <w:rsid w:val="00FD0290"/>
    <w:rsid w:val="00FD2475"/>
    <w:rsid w:val="00FD2AC9"/>
    <w:rsid w:val="00FD384F"/>
    <w:rsid w:val="00FD46A4"/>
    <w:rsid w:val="00FD4B68"/>
    <w:rsid w:val="00FD59A5"/>
    <w:rsid w:val="00FD5CD9"/>
    <w:rsid w:val="00FD626E"/>
    <w:rsid w:val="00FD6662"/>
    <w:rsid w:val="00FD7E74"/>
    <w:rsid w:val="00FE0AAD"/>
    <w:rsid w:val="00FE1D54"/>
    <w:rsid w:val="00FE1D93"/>
    <w:rsid w:val="00FE1DB9"/>
    <w:rsid w:val="00FE203B"/>
    <w:rsid w:val="00FE217B"/>
    <w:rsid w:val="00FE2BD2"/>
    <w:rsid w:val="00FE322A"/>
    <w:rsid w:val="00FE3C46"/>
    <w:rsid w:val="00FE3D64"/>
    <w:rsid w:val="00FE4141"/>
    <w:rsid w:val="00FE5F1C"/>
    <w:rsid w:val="00FE6143"/>
    <w:rsid w:val="00FE6976"/>
    <w:rsid w:val="00FE6CEF"/>
    <w:rsid w:val="00FF0432"/>
    <w:rsid w:val="00FF0779"/>
    <w:rsid w:val="00FF3061"/>
    <w:rsid w:val="00FF470C"/>
    <w:rsid w:val="00FF47D1"/>
    <w:rsid w:val="00FF4C1E"/>
    <w:rsid w:val="00FF509F"/>
    <w:rsid w:val="00FF52F6"/>
    <w:rsid w:val="00FF660D"/>
    <w:rsid w:val="00FF6946"/>
    <w:rsid w:val="1865128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52B80"/>
  <w15:chartTrackingRefBased/>
  <w15:docId w15:val="{1D3553A3-231B-4EEA-81FD-06E42715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line="360" w:lineRule="auto"/>
      <w:jc w:val="both"/>
    </w:pPr>
    <w:rPr>
      <w:rFonts w:ascii="Arial" w:hAnsi="Arial"/>
      <w:sz w:val="22"/>
    </w:rPr>
  </w:style>
  <w:style w:type="paragraph" w:styleId="berschrift1">
    <w:name w:val="heading 1"/>
    <w:basedOn w:val="Standard"/>
    <w:next w:val="Standard"/>
    <w:qFormat/>
    <w:rsid w:val="00062F5E"/>
    <w:pPr>
      <w:keepNext/>
      <w:widowControl w:val="0"/>
      <w:numPr>
        <w:numId w:val="1"/>
      </w:numPr>
      <w:spacing w:after="120"/>
      <w:jc w:val="left"/>
      <w:outlineLvl w:val="0"/>
    </w:pPr>
    <w:rPr>
      <w:rFonts w:ascii="Verdana" w:hAnsi="Verdana"/>
      <w:b/>
      <w:kern w:val="28"/>
    </w:rPr>
  </w:style>
  <w:style w:type="paragraph" w:styleId="berschrift2">
    <w:name w:val="heading 2"/>
    <w:basedOn w:val="Standard"/>
    <w:next w:val="Standard"/>
    <w:qFormat/>
    <w:rsid w:val="00062F5E"/>
    <w:pPr>
      <w:keepNext/>
      <w:numPr>
        <w:ilvl w:val="1"/>
        <w:numId w:val="1"/>
      </w:numPr>
      <w:tabs>
        <w:tab w:val="left" w:pos="5387"/>
      </w:tabs>
      <w:spacing w:after="120"/>
      <w:jc w:val="left"/>
      <w:outlineLvl w:val="1"/>
    </w:pPr>
    <w:rPr>
      <w:rFonts w:ascii="Verdana" w:hAnsi="Verdana"/>
      <w:b/>
    </w:rPr>
  </w:style>
  <w:style w:type="paragraph" w:styleId="berschrift3">
    <w:name w:val="heading 3"/>
    <w:basedOn w:val="Standard"/>
    <w:next w:val="Standard"/>
    <w:qFormat/>
    <w:rsid w:val="00062F5E"/>
    <w:pPr>
      <w:widowControl w:val="0"/>
      <w:numPr>
        <w:ilvl w:val="2"/>
        <w:numId w:val="1"/>
      </w:numPr>
      <w:spacing w:after="120"/>
      <w:outlineLvl w:val="2"/>
    </w:pPr>
    <w:rPr>
      <w:rFonts w:ascii="Verdana" w:hAnsi="Verdana"/>
      <w:b/>
    </w:rPr>
  </w:style>
  <w:style w:type="paragraph" w:styleId="berschrift4">
    <w:name w:val="heading 4"/>
    <w:basedOn w:val="Standard"/>
    <w:next w:val="Standard"/>
    <w:qFormat/>
    <w:pPr>
      <w:keepNext/>
      <w:widowControl w:val="0"/>
      <w:numPr>
        <w:ilvl w:val="3"/>
        <w:numId w:val="1"/>
      </w:numPr>
      <w:spacing w:after="120"/>
      <w:jc w:val="left"/>
      <w:outlineLvl w:val="3"/>
    </w:pPr>
    <w:rPr>
      <w:b/>
    </w:rPr>
  </w:style>
  <w:style w:type="paragraph" w:styleId="berschrift5">
    <w:name w:val="heading 5"/>
    <w:basedOn w:val="Standard"/>
    <w:next w:val="Standard"/>
    <w:qFormat/>
    <w:pPr>
      <w:widowControl w:val="0"/>
      <w:numPr>
        <w:ilvl w:val="4"/>
        <w:numId w:val="1"/>
      </w:numPr>
      <w:spacing w:after="120"/>
      <w:jc w:val="left"/>
      <w:outlineLvl w:val="4"/>
    </w:pPr>
    <w:rPr>
      <w:b/>
    </w:rPr>
  </w:style>
  <w:style w:type="paragraph" w:styleId="berschrift6">
    <w:name w:val="heading 6"/>
    <w:basedOn w:val="Standard"/>
    <w:next w:val="Standard"/>
    <w:qFormat/>
    <w:pPr>
      <w:spacing w:after="120"/>
      <w:jc w:val="left"/>
      <w:outlineLvl w:val="5"/>
    </w:pPr>
    <w:rPr>
      <w:u w:val="single"/>
    </w:rPr>
  </w:style>
  <w:style w:type="paragraph" w:styleId="berschrift7">
    <w:name w:val="heading 7"/>
    <w:basedOn w:val="Standard"/>
    <w:next w:val="Standard"/>
    <w:qFormat/>
    <w:pPr>
      <w:keepNext/>
      <w:outlineLvl w:val="6"/>
    </w:pPr>
    <w:rPr>
      <w:i/>
    </w:rPr>
  </w:style>
  <w:style w:type="paragraph" w:styleId="berschrift8">
    <w:name w:val="heading 8"/>
    <w:basedOn w:val="Standard"/>
    <w:next w:val="Standard"/>
    <w:qFormat/>
    <w:pPr>
      <w:keepNext/>
      <w:jc w:val="center"/>
      <w:outlineLvl w:val="7"/>
    </w:pPr>
    <w:rPr>
      <w:b/>
    </w:rPr>
  </w:style>
  <w:style w:type="paragraph" w:styleId="berschrift9">
    <w:name w:val="heading 9"/>
    <w:basedOn w:val="Standard"/>
    <w:next w:val="Standard"/>
    <w:qFormat/>
    <w:pPr>
      <w:keepNext/>
      <w:jc w:val="center"/>
      <w:outlineLvl w:val="8"/>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aliases w:val="ez"/>
    <w:uiPriority w:val="99"/>
    <w:qFormat/>
    <w:rPr>
      <w:rFonts w:ascii="Arial" w:hAnsi="Arial"/>
      <w:color w:val="auto"/>
      <w:sz w:val="24"/>
      <w:u w:val="none"/>
      <w:vertAlign w:val="baseline"/>
    </w:rPr>
  </w:style>
  <w:style w:type="paragraph" w:styleId="Endnotentext">
    <w:name w:val="endnote text"/>
    <w:basedOn w:val="Standard"/>
    <w:link w:val="EndnotentextZchn"/>
    <w:uiPriority w:val="99"/>
    <w:qFormat/>
    <w:pPr>
      <w:spacing w:after="120" w:line="240" w:lineRule="auto"/>
      <w:ind w:left="709" w:hanging="709"/>
    </w:pPr>
  </w:style>
  <w:style w:type="character" w:styleId="Seitenzahl">
    <w:name w:val="page number"/>
    <w:semiHidden/>
    <w:rPr>
      <w:rFonts w:ascii="Arial" w:hAnsi="Arial"/>
      <w:sz w:val="18"/>
    </w:rPr>
  </w:style>
  <w:style w:type="paragraph" w:styleId="Funotentext">
    <w:name w:val="footnote text"/>
    <w:basedOn w:val="Standard"/>
    <w:link w:val="FunotentextZchn"/>
    <w:semiHidden/>
    <w:pPr>
      <w:spacing w:after="0" w:line="240" w:lineRule="auto"/>
    </w:pPr>
  </w:style>
  <w:style w:type="character" w:styleId="Funotenzeichen">
    <w:name w:val="footnote reference"/>
    <w:semiHidden/>
    <w:rPr>
      <w:rFonts w:ascii="Arial" w:hAnsi="Arial"/>
      <w:dstrike w:val="0"/>
      <w:color w:val="auto"/>
      <w:sz w:val="24"/>
      <w:vertAlign w:val="baseline"/>
    </w:rPr>
  </w:style>
  <w:style w:type="paragraph" w:styleId="Beschriftung">
    <w:name w:val="caption"/>
    <w:basedOn w:val="Standard"/>
    <w:next w:val="Standard"/>
    <w:qFormat/>
    <w:pPr>
      <w:spacing w:after="0"/>
    </w:pPr>
  </w:style>
  <w:style w:type="paragraph" w:styleId="Verzeichnis1">
    <w:name w:val="toc 1"/>
    <w:basedOn w:val="Standard"/>
    <w:next w:val="Standard"/>
    <w:autoRedefine/>
    <w:semiHidden/>
    <w:pPr>
      <w:spacing w:before="120" w:after="0"/>
    </w:pPr>
    <w:rPr>
      <w:b/>
    </w:rPr>
  </w:style>
  <w:style w:type="paragraph" w:styleId="Verzeichnis2">
    <w:name w:val="toc 2"/>
    <w:basedOn w:val="Standard"/>
    <w:next w:val="Standard"/>
    <w:autoRedefine/>
    <w:semiHidden/>
    <w:pPr>
      <w:spacing w:before="120" w:after="0"/>
      <w:ind w:left="238"/>
    </w:pPr>
  </w:style>
  <w:style w:type="paragraph" w:styleId="Verzeichnis3">
    <w:name w:val="toc 3"/>
    <w:basedOn w:val="Standard"/>
    <w:next w:val="Standard"/>
    <w:autoRedefine/>
    <w:semiHidden/>
    <w:pPr>
      <w:spacing w:before="120" w:after="0"/>
      <w:ind w:left="482"/>
    </w:pPr>
    <w:rPr>
      <w:noProof/>
      <w:kern w:val="28"/>
    </w:rPr>
  </w:style>
  <w:style w:type="paragraph" w:styleId="Verzeichnis4">
    <w:name w:val="toc 4"/>
    <w:basedOn w:val="Standard"/>
    <w:next w:val="Standard"/>
    <w:autoRedefine/>
    <w:semiHidden/>
    <w:pPr>
      <w:spacing w:after="0"/>
      <w:ind w:left="720"/>
    </w:pPr>
  </w:style>
  <w:style w:type="paragraph" w:styleId="Verzeichnis5">
    <w:name w:val="toc 5"/>
    <w:basedOn w:val="Standard"/>
    <w:next w:val="Standard"/>
    <w:autoRedefine/>
    <w:semiHidden/>
    <w:pPr>
      <w:spacing w:after="0"/>
      <w:ind w:left="958"/>
    </w:pPr>
  </w:style>
  <w:style w:type="paragraph" w:styleId="Fuzeile">
    <w:name w:val="footer"/>
    <w:basedOn w:val="Standard"/>
    <w:semiHidden/>
    <w:pPr>
      <w:tabs>
        <w:tab w:val="center" w:pos="4819"/>
        <w:tab w:val="right" w:pos="9071"/>
      </w:tabs>
      <w:spacing w:after="0" w:line="240" w:lineRule="auto"/>
      <w:jc w:val="left"/>
    </w:pPr>
    <w:rPr>
      <w:rFonts w:ascii="Times New Roman" w:hAnsi="Times New Roman"/>
    </w:rPr>
  </w:style>
  <w:style w:type="paragraph" w:styleId="Kopfzeile">
    <w:name w:val="header"/>
    <w:basedOn w:val="Standard"/>
    <w:semiHidden/>
    <w:pPr>
      <w:tabs>
        <w:tab w:val="center" w:pos="4819"/>
        <w:tab w:val="right" w:pos="9071"/>
      </w:tabs>
      <w:spacing w:after="0" w:line="240" w:lineRule="auto"/>
      <w:jc w:val="left"/>
    </w:pPr>
    <w:rPr>
      <w:rFonts w:ascii="Times New Roman" w:hAnsi="Times New Roman"/>
    </w:rPr>
  </w:style>
  <w:style w:type="paragraph" w:customStyle="1" w:styleId="Ehrenberg">
    <w:name w:val="Ehrenberg"/>
    <w:basedOn w:val="berschrift1"/>
    <w:pPr>
      <w:numPr>
        <w:numId w:val="2"/>
      </w:numPr>
    </w:pPr>
  </w:style>
  <w:style w:type="paragraph" w:styleId="Blocktext">
    <w:name w:val="Block Text"/>
    <w:basedOn w:val="Standard"/>
    <w:semiHidden/>
    <w:pPr>
      <w:ind w:left="851" w:right="849"/>
    </w:pPr>
    <w:rPr>
      <w:sz w:val="20"/>
    </w:rPr>
  </w:style>
  <w:style w:type="character" w:styleId="Hyperlink">
    <w:name w:val="Hyperlink"/>
    <w:uiPriority w:val="99"/>
    <w:rPr>
      <w:color w:val="0000FF"/>
      <w:u w:val="single"/>
    </w:rPr>
  </w:style>
  <w:style w:type="paragraph" w:styleId="Textkrper">
    <w:name w:val="Body Text"/>
    <w:basedOn w:val="Standard"/>
    <w:semiHidden/>
    <w:pPr>
      <w:spacing w:after="480"/>
      <w:jc w:val="center"/>
    </w:pPr>
    <w:rPr>
      <w:b/>
      <w:sz w:val="32"/>
    </w:rPr>
  </w:style>
  <w:style w:type="paragraph" w:customStyle="1" w:styleId="ZCom">
    <w:name w:val="Z_Com"/>
    <w:basedOn w:val="Standard"/>
    <w:next w:val="ZDGName"/>
    <w:pPr>
      <w:widowControl w:val="0"/>
      <w:spacing w:after="0" w:line="240" w:lineRule="auto"/>
      <w:ind w:right="85"/>
    </w:pPr>
    <w:rPr>
      <w:sz w:val="24"/>
      <w:lang w:val="en-GB"/>
    </w:rPr>
  </w:style>
  <w:style w:type="paragraph" w:customStyle="1" w:styleId="ZDGName">
    <w:name w:val="Z_DGName"/>
    <w:basedOn w:val="Standard"/>
    <w:pPr>
      <w:widowControl w:val="0"/>
      <w:spacing w:after="0" w:line="240" w:lineRule="auto"/>
      <w:ind w:right="85"/>
    </w:pPr>
    <w:rPr>
      <w:sz w:val="16"/>
      <w:lang w:val="en-GB"/>
    </w:rPr>
  </w:style>
  <w:style w:type="paragraph" w:styleId="Sprechblasentext">
    <w:name w:val="Balloon Text"/>
    <w:basedOn w:val="Standard"/>
    <w:link w:val="SprechblasentextZchn"/>
    <w:uiPriority w:val="99"/>
    <w:semiHidden/>
    <w:unhideWhenUsed/>
    <w:rsid w:val="006C765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C7658"/>
    <w:rPr>
      <w:rFonts w:ascii="Tahoma" w:hAnsi="Tahoma" w:cs="Tahoma"/>
      <w:sz w:val="16"/>
      <w:szCs w:val="16"/>
    </w:rPr>
  </w:style>
  <w:style w:type="table" w:customStyle="1" w:styleId="Tabellengitternetz">
    <w:name w:val="Tabellengitternetz"/>
    <w:basedOn w:val="NormaleTabelle"/>
    <w:uiPriority w:val="59"/>
    <w:rsid w:val="00BC7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AF553A"/>
    <w:pPr>
      <w:spacing w:before="100" w:beforeAutospacing="1" w:after="100" w:afterAutospacing="1" w:line="240" w:lineRule="auto"/>
      <w:jc w:val="left"/>
    </w:pPr>
    <w:rPr>
      <w:rFonts w:ascii="Times New Roman" w:hAnsi="Times New Roman"/>
      <w:sz w:val="24"/>
      <w:szCs w:val="24"/>
    </w:rPr>
  </w:style>
  <w:style w:type="paragraph" w:styleId="Textkrper2">
    <w:name w:val="Body Text 2"/>
    <w:basedOn w:val="Standard"/>
    <w:link w:val="Textkrper2Zchn"/>
    <w:uiPriority w:val="99"/>
    <w:semiHidden/>
    <w:unhideWhenUsed/>
    <w:rsid w:val="00AF553A"/>
    <w:pPr>
      <w:spacing w:after="120" w:line="480" w:lineRule="auto"/>
    </w:pPr>
  </w:style>
  <w:style w:type="character" w:customStyle="1" w:styleId="Textkrper2Zchn">
    <w:name w:val="Textkörper 2 Zchn"/>
    <w:link w:val="Textkrper2"/>
    <w:uiPriority w:val="99"/>
    <w:semiHidden/>
    <w:rsid w:val="00AF553A"/>
    <w:rPr>
      <w:rFonts w:ascii="Arial" w:hAnsi="Arial"/>
      <w:sz w:val="22"/>
    </w:rPr>
  </w:style>
  <w:style w:type="paragraph" w:styleId="Listenabsatz">
    <w:name w:val="List Paragraph"/>
    <w:basedOn w:val="Standard"/>
    <w:uiPriority w:val="34"/>
    <w:qFormat/>
    <w:rsid w:val="003E3EB6"/>
    <w:pPr>
      <w:ind w:left="720"/>
      <w:contextualSpacing/>
    </w:pPr>
  </w:style>
  <w:style w:type="character" w:styleId="NichtaufgelsteErwhnung">
    <w:name w:val="Unresolved Mention"/>
    <w:basedOn w:val="Absatz-Standardschriftart"/>
    <w:uiPriority w:val="99"/>
    <w:semiHidden/>
    <w:unhideWhenUsed/>
    <w:rsid w:val="00115A9E"/>
    <w:rPr>
      <w:color w:val="605E5C"/>
      <w:shd w:val="clear" w:color="auto" w:fill="E1DFDD"/>
    </w:rPr>
  </w:style>
  <w:style w:type="paragraph" w:styleId="berarbeitung">
    <w:name w:val="Revision"/>
    <w:hidden/>
    <w:uiPriority w:val="99"/>
    <w:semiHidden/>
    <w:rsid w:val="00D11DFA"/>
    <w:rPr>
      <w:rFonts w:ascii="Arial" w:hAnsi="Arial"/>
      <w:sz w:val="22"/>
    </w:rPr>
  </w:style>
  <w:style w:type="character" w:styleId="Kommentarzeichen">
    <w:name w:val="annotation reference"/>
    <w:basedOn w:val="Absatz-Standardschriftart"/>
    <w:uiPriority w:val="99"/>
    <w:semiHidden/>
    <w:unhideWhenUsed/>
    <w:rsid w:val="006A34F5"/>
    <w:rPr>
      <w:sz w:val="16"/>
      <w:szCs w:val="16"/>
    </w:rPr>
  </w:style>
  <w:style w:type="paragraph" w:styleId="Kommentartext">
    <w:name w:val="annotation text"/>
    <w:basedOn w:val="Standard"/>
    <w:link w:val="KommentartextZchn"/>
    <w:uiPriority w:val="99"/>
    <w:unhideWhenUsed/>
    <w:rsid w:val="006A34F5"/>
    <w:pPr>
      <w:spacing w:line="240" w:lineRule="auto"/>
    </w:pPr>
    <w:rPr>
      <w:sz w:val="20"/>
    </w:rPr>
  </w:style>
  <w:style w:type="character" w:customStyle="1" w:styleId="KommentartextZchn">
    <w:name w:val="Kommentartext Zchn"/>
    <w:basedOn w:val="Absatz-Standardschriftart"/>
    <w:link w:val="Kommentartext"/>
    <w:uiPriority w:val="99"/>
    <w:rsid w:val="006A34F5"/>
    <w:rPr>
      <w:rFonts w:ascii="Arial" w:hAnsi="Arial"/>
    </w:rPr>
  </w:style>
  <w:style w:type="paragraph" w:styleId="Kommentarthema">
    <w:name w:val="annotation subject"/>
    <w:basedOn w:val="Kommentartext"/>
    <w:next w:val="Kommentartext"/>
    <w:link w:val="KommentarthemaZchn"/>
    <w:uiPriority w:val="99"/>
    <w:semiHidden/>
    <w:unhideWhenUsed/>
    <w:rsid w:val="006A34F5"/>
    <w:rPr>
      <w:b/>
      <w:bCs/>
    </w:rPr>
  </w:style>
  <w:style w:type="character" w:customStyle="1" w:styleId="KommentarthemaZchn">
    <w:name w:val="Kommentarthema Zchn"/>
    <w:basedOn w:val="KommentartextZchn"/>
    <w:link w:val="Kommentarthema"/>
    <w:uiPriority w:val="99"/>
    <w:semiHidden/>
    <w:rsid w:val="006A34F5"/>
    <w:rPr>
      <w:rFonts w:ascii="Arial" w:hAnsi="Arial"/>
      <w:b/>
      <w:bCs/>
    </w:rPr>
  </w:style>
  <w:style w:type="character" w:customStyle="1" w:styleId="EndnotentextZchn">
    <w:name w:val="Endnotentext Zchn"/>
    <w:basedOn w:val="Absatz-Standardschriftart"/>
    <w:link w:val="Endnotentext"/>
    <w:uiPriority w:val="99"/>
    <w:rsid w:val="001974E5"/>
    <w:rPr>
      <w:rFonts w:ascii="Arial" w:hAnsi="Arial"/>
      <w:sz w:val="22"/>
    </w:rPr>
  </w:style>
  <w:style w:type="table" w:styleId="Tabellenraster">
    <w:name w:val="Table Grid"/>
    <w:basedOn w:val="NormaleTabelle"/>
    <w:uiPriority w:val="39"/>
    <w:rsid w:val="007B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semiHidden/>
    <w:rsid w:val="00A96D5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280">
      <w:bodyDiv w:val="1"/>
      <w:marLeft w:val="0"/>
      <w:marRight w:val="0"/>
      <w:marTop w:val="0"/>
      <w:marBottom w:val="0"/>
      <w:divBdr>
        <w:top w:val="none" w:sz="0" w:space="0" w:color="auto"/>
        <w:left w:val="none" w:sz="0" w:space="0" w:color="auto"/>
        <w:bottom w:val="none" w:sz="0" w:space="0" w:color="auto"/>
        <w:right w:val="none" w:sz="0" w:space="0" w:color="auto"/>
      </w:divBdr>
    </w:div>
    <w:div w:id="50547041">
      <w:bodyDiv w:val="1"/>
      <w:marLeft w:val="0"/>
      <w:marRight w:val="0"/>
      <w:marTop w:val="0"/>
      <w:marBottom w:val="0"/>
      <w:divBdr>
        <w:top w:val="none" w:sz="0" w:space="0" w:color="auto"/>
        <w:left w:val="none" w:sz="0" w:space="0" w:color="auto"/>
        <w:bottom w:val="none" w:sz="0" w:space="0" w:color="auto"/>
        <w:right w:val="none" w:sz="0" w:space="0" w:color="auto"/>
      </w:divBdr>
    </w:div>
    <w:div w:id="266735074">
      <w:bodyDiv w:val="1"/>
      <w:marLeft w:val="0"/>
      <w:marRight w:val="0"/>
      <w:marTop w:val="0"/>
      <w:marBottom w:val="0"/>
      <w:divBdr>
        <w:top w:val="none" w:sz="0" w:space="0" w:color="auto"/>
        <w:left w:val="none" w:sz="0" w:space="0" w:color="auto"/>
        <w:bottom w:val="none" w:sz="0" w:space="0" w:color="auto"/>
        <w:right w:val="none" w:sz="0" w:space="0" w:color="auto"/>
      </w:divBdr>
    </w:div>
    <w:div w:id="274750940">
      <w:bodyDiv w:val="1"/>
      <w:marLeft w:val="0"/>
      <w:marRight w:val="0"/>
      <w:marTop w:val="0"/>
      <w:marBottom w:val="0"/>
      <w:divBdr>
        <w:top w:val="none" w:sz="0" w:space="0" w:color="auto"/>
        <w:left w:val="none" w:sz="0" w:space="0" w:color="auto"/>
        <w:bottom w:val="none" w:sz="0" w:space="0" w:color="auto"/>
        <w:right w:val="none" w:sz="0" w:space="0" w:color="auto"/>
      </w:divBdr>
    </w:div>
    <w:div w:id="329142866">
      <w:bodyDiv w:val="1"/>
      <w:marLeft w:val="0"/>
      <w:marRight w:val="0"/>
      <w:marTop w:val="0"/>
      <w:marBottom w:val="0"/>
      <w:divBdr>
        <w:top w:val="none" w:sz="0" w:space="0" w:color="auto"/>
        <w:left w:val="none" w:sz="0" w:space="0" w:color="auto"/>
        <w:bottom w:val="none" w:sz="0" w:space="0" w:color="auto"/>
        <w:right w:val="none" w:sz="0" w:space="0" w:color="auto"/>
      </w:divBdr>
    </w:div>
    <w:div w:id="406080043">
      <w:bodyDiv w:val="1"/>
      <w:marLeft w:val="0"/>
      <w:marRight w:val="0"/>
      <w:marTop w:val="0"/>
      <w:marBottom w:val="0"/>
      <w:divBdr>
        <w:top w:val="none" w:sz="0" w:space="0" w:color="auto"/>
        <w:left w:val="none" w:sz="0" w:space="0" w:color="auto"/>
        <w:bottom w:val="none" w:sz="0" w:space="0" w:color="auto"/>
        <w:right w:val="none" w:sz="0" w:space="0" w:color="auto"/>
      </w:divBdr>
    </w:div>
    <w:div w:id="413598393">
      <w:bodyDiv w:val="1"/>
      <w:marLeft w:val="0"/>
      <w:marRight w:val="0"/>
      <w:marTop w:val="0"/>
      <w:marBottom w:val="0"/>
      <w:divBdr>
        <w:top w:val="none" w:sz="0" w:space="0" w:color="auto"/>
        <w:left w:val="none" w:sz="0" w:space="0" w:color="auto"/>
        <w:bottom w:val="none" w:sz="0" w:space="0" w:color="auto"/>
        <w:right w:val="none" w:sz="0" w:space="0" w:color="auto"/>
      </w:divBdr>
    </w:div>
    <w:div w:id="676806494">
      <w:bodyDiv w:val="1"/>
      <w:marLeft w:val="0"/>
      <w:marRight w:val="0"/>
      <w:marTop w:val="0"/>
      <w:marBottom w:val="0"/>
      <w:divBdr>
        <w:top w:val="none" w:sz="0" w:space="0" w:color="auto"/>
        <w:left w:val="none" w:sz="0" w:space="0" w:color="auto"/>
        <w:bottom w:val="none" w:sz="0" w:space="0" w:color="auto"/>
        <w:right w:val="none" w:sz="0" w:space="0" w:color="auto"/>
      </w:divBdr>
    </w:div>
    <w:div w:id="715197594">
      <w:bodyDiv w:val="1"/>
      <w:marLeft w:val="0"/>
      <w:marRight w:val="0"/>
      <w:marTop w:val="0"/>
      <w:marBottom w:val="0"/>
      <w:divBdr>
        <w:top w:val="none" w:sz="0" w:space="0" w:color="auto"/>
        <w:left w:val="none" w:sz="0" w:space="0" w:color="auto"/>
        <w:bottom w:val="none" w:sz="0" w:space="0" w:color="auto"/>
        <w:right w:val="none" w:sz="0" w:space="0" w:color="auto"/>
      </w:divBdr>
    </w:div>
    <w:div w:id="987781007">
      <w:bodyDiv w:val="1"/>
      <w:marLeft w:val="0"/>
      <w:marRight w:val="0"/>
      <w:marTop w:val="0"/>
      <w:marBottom w:val="0"/>
      <w:divBdr>
        <w:top w:val="none" w:sz="0" w:space="0" w:color="auto"/>
        <w:left w:val="none" w:sz="0" w:space="0" w:color="auto"/>
        <w:bottom w:val="none" w:sz="0" w:space="0" w:color="auto"/>
        <w:right w:val="none" w:sz="0" w:space="0" w:color="auto"/>
      </w:divBdr>
    </w:div>
    <w:div w:id="1104885225">
      <w:bodyDiv w:val="1"/>
      <w:marLeft w:val="0"/>
      <w:marRight w:val="0"/>
      <w:marTop w:val="0"/>
      <w:marBottom w:val="0"/>
      <w:divBdr>
        <w:top w:val="none" w:sz="0" w:space="0" w:color="auto"/>
        <w:left w:val="none" w:sz="0" w:space="0" w:color="auto"/>
        <w:bottom w:val="none" w:sz="0" w:space="0" w:color="auto"/>
        <w:right w:val="none" w:sz="0" w:space="0" w:color="auto"/>
      </w:divBdr>
    </w:div>
    <w:div w:id="1420633550">
      <w:bodyDiv w:val="1"/>
      <w:marLeft w:val="0"/>
      <w:marRight w:val="0"/>
      <w:marTop w:val="0"/>
      <w:marBottom w:val="0"/>
      <w:divBdr>
        <w:top w:val="none" w:sz="0" w:space="0" w:color="auto"/>
        <w:left w:val="none" w:sz="0" w:space="0" w:color="auto"/>
        <w:bottom w:val="none" w:sz="0" w:space="0" w:color="auto"/>
        <w:right w:val="none" w:sz="0" w:space="0" w:color="auto"/>
      </w:divBdr>
    </w:div>
    <w:div w:id="14620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5.png"/><Relationship Id="rId6" Type="http://schemas.openxmlformats.org/officeDocument/2006/relationships/image" Target="media/image2.emf"/><Relationship Id="rId5" Type="http://schemas.openxmlformats.org/officeDocument/2006/relationships/image" Target="media/image6.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b90209-f18c-4b31-90ca-73e7b3b8b0e6" xsi:nil="true"/>
    <lcf76f155ced4ddcb4097134ff3c332f xmlns="33636c62-2e12-4e73-be8a-20cc69b7ca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2687156BB96D428951CB13567B1242" ma:contentTypeVersion="17" ma:contentTypeDescription="Ein neues Dokument erstellen." ma:contentTypeScope="" ma:versionID="1d5455871421ac2574e8ada5921d97e2">
  <xsd:schema xmlns:xsd="http://www.w3.org/2001/XMLSchema" xmlns:xs="http://www.w3.org/2001/XMLSchema" xmlns:p="http://schemas.microsoft.com/office/2006/metadata/properties" xmlns:ns2="33636c62-2e12-4e73-be8a-20cc69b7ca6c" xmlns:ns3="acb90209-f18c-4b31-90ca-73e7b3b8b0e6" targetNamespace="http://schemas.microsoft.com/office/2006/metadata/properties" ma:root="true" ma:fieldsID="29ae595a1445401994f08b867815c0d7" ns2:_="" ns3:_="">
    <xsd:import namespace="33636c62-2e12-4e73-be8a-20cc69b7ca6c"/>
    <xsd:import namespace="acb90209-f18c-4b31-90ca-73e7b3b8b0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36c62-2e12-4e73-be8a-20cc69b7c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76caa0f-db8e-49d1-8308-858c9364b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90209-f18c-4b31-90ca-73e7b3b8b0e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bcf554-f3bf-4145-9a36-ab27f8ac29d6}" ma:internalName="TaxCatchAll" ma:showField="CatchAllData" ma:web="acb90209-f18c-4b31-90ca-73e7b3b8b0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1C9A-8F92-4219-A861-814F27F91A02}">
  <ds:schemaRefs>
    <ds:schemaRef ds:uri="http://schemas.microsoft.com/sharepoint/v3/contenttype/forms"/>
  </ds:schemaRefs>
</ds:datastoreItem>
</file>

<file path=customXml/itemProps2.xml><?xml version="1.0" encoding="utf-8"?>
<ds:datastoreItem xmlns:ds="http://schemas.openxmlformats.org/officeDocument/2006/customXml" ds:itemID="{73E22A2F-9A76-42AA-856D-4A641A0CCE6C}">
  <ds:schemaRefs>
    <ds:schemaRef ds:uri="http://schemas.microsoft.com/office/2006/metadata/properties"/>
    <ds:schemaRef ds:uri="http://schemas.microsoft.com/office/infopath/2007/PartnerControls"/>
    <ds:schemaRef ds:uri="acb90209-f18c-4b31-90ca-73e7b3b8b0e6"/>
    <ds:schemaRef ds:uri="33636c62-2e12-4e73-be8a-20cc69b7ca6c"/>
  </ds:schemaRefs>
</ds:datastoreItem>
</file>

<file path=customXml/itemProps3.xml><?xml version="1.0" encoding="utf-8"?>
<ds:datastoreItem xmlns:ds="http://schemas.openxmlformats.org/officeDocument/2006/customXml" ds:itemID="{D90F2E9B-BBA8-4BD9-BC98-B17AF7DE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36c62-2e12-4e73-be8a-20cc69b7ca6c"/>
    <ds:schemaRef ds:uri="acb90209-f18c-4b31-90ca-73e7b3b8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CF507-9ACF-492C-98AD-DC4B33B9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19930</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Eh / 17</vt:lpstr>
    </vt:vector>
  </TitlesOfParts>
  <Company>FEHS</Company>
  <LinksUpToDate>false</LinksUpToDate>
  <CharactersWithSpaces>23047</CharactersWithSpaces>
  <SharedDoc>false</SharedDoc>
  <HLinks>
    <vt:vector size="36" baseType="variant">
      <vt:variant>
        <vt:i4>6422570</vt:i4>
      </vt:variant>
      <vt:variant>
        <vt:i4>6</vt:i4>
      </vt:variant>
      <vt:variant>
        <vt:i4>0</vt:i4>
      </vt:variant>
      <vt:variant>
        <vt:i4>5</vt:i4>
      </vt:variant>
      <vt:variant>
        <vt:lpwstr>https://www.nachhaltigesbauen.de/austausch/beg/</vt:lpwstr>
      </vt:variant>
      <vt:variant>
        <vt:lpwstr/>
      </vt:variant>
      <vt:variant>
        <vt:i4>3997785</vt:i4>
      </vt:variant>
      <vt:variant>
        <vt:i4>12</vt:i4>
      </vt:variant>
      <vt:variant>
        <vt:i4>0</vt:i4>
      </vt:variant>
      <vt:variant>
        <vt:i4>5</vt:i4>
      </vt:variant>
      <vt:variant>
        <vt:lpwstr>https://recht.nrw.de/lmi/owa/br_text_anzeigen?v_id=10000000000000000534</vt:lpwstr>
      </vt:variant>
      <vt:variant>
        <vt:lpwstr/>
      </vt:variant>
      <vt:variant>
        <vt:i4>4325380</vt:i4>
      </vt:variant>
      <vt:variant>
        <vt:i4>9</vt:i4>
      </vt:variant>
      <vt:variant>
        <vt:i4>0</vt:i4>
      </vt:variant>
      <vt:variant>
        <vt:i4>5</vt:i4>
      </vt:variant>
      <vt:variant>
        <vt:lpwstr>http://www.dafstb.de/nachhaltigkeit.html</vt:lpwstr>
      </vt:variant>
      <vt:variant>
        <vt:lpwstr/>
      </vt:variant>
      <vt:variant>
        <vt:i4>6684713</vt:i4>
      </vt:variant>
      <vt:variant>
        <vt:i4>6</vt:i4>
      </vt:variant>
      <vt:variant>
        <vt:i4>0</vt:i4>
      </vt:variant>
      <vt:variant>
        <vt:i4>5</vt:i4>
      </vt:variant>
      <vt:variant>
        <vt:lpwstr>https://www.kalksandstein.de/service-und-aktuelles/downloads-und-arbeitshilfen/</vt:lpwstr>
      </vt:variant>
      <vt:variant>
        <vt:lpwstr/>
      </vt:variant>
      <vt:variant>
        <vt:i4>8192127</vt:i4>
      </vt:variant>
      <vt:variant>
        <vt:i4>3</vt:i4>
      </vt:variant>
      <vt:variant>
        <vt:i4>0</vt:i4>
      </vt:variant>
      <vt:variant>
        <vt:i4>5</vt:i4>
      </vt:variant>
      <vt:variant>
        <vt:lpwstr>https://www.vdz-online.de/aktuelles/deutsche-zementindustrie-auf-dem-weg-in-eine-co2-freie-zukunft</vt:lpwstr>
      </vt:variant>
      <vt:variant>
        <vt:lpwstr/>
      </vt:variant>
      <vt:variant>
        <vt:i4>4587585</vt:i4>
      </vt:variant>
      <vt:variant>
        <vt:i4>0</vt:i4>
      </vt:variant>
      <vt:variant>
        <vt:i4>0</vt:i4>
      </vt:variant>
      <vt:variant>
        <vt:i4>5</vt:i4>
      </vt:variant>
      <vt:variant>
        <vt:lpwstr>https://www.dibt.de/de/wir-bieten/technische-baubestimmungen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 17</dc:title>
  <dc:subject/>
  <dc:creator>Ehrenberg</dc:creator>
  <cp:keywords/>
  <cp:lastModifiedBy>Gabriele Brehmer-Kohn</cp:lastModifiedBy>
  <cp:revision>2</cp:revision>
  <cp:lastPrinted>2024-11-06T12:09:00Z</cp:lastPrinted>
  <dcterms:created xsi:type="dcterms:W3CDTF">2024-11-07T11:15:00Z</dcterms:created>
  <dcterms:modified xsi:type="dcterms:W3CDTF">2024-11-07T11:15:00Z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0x010100812687156BB96D428951CB13567B1242</vt:lpwstr>
  </property>
  <property fmtid="{D5CDD505-2E9C-101B-9397-08002B2CF9AE}" pid="3" name="MediaServiceImageTags">
    <vt:lpwstr/>
  </property>
</Properties>
</file>