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13FAB" w14:textId="35204CB3" w:rsidR="00FC4488" w:rsidRPr="001F00E4" w:rsidRDefault="001F00E4">
      <w:pPr>
        <w:rPr>
          <w:b/>
          <w:bCs/>
        </w:rPr>
      </w:pPr>
      <w:r w:rsidRPr="001F00E4">
        <w:rPr>
          <w:b/>
          <w:bCs/>
        </w:rPr>
        <w:t>MUSTERSCHREIBEN</w:t>
      </w:r>
    </w:p>
    <w:p w14:paraId="446C150D" w14:textId="435F08B3" w:rsidR="00101CD6" w:rsidRDefault="00101CD6" w:rsidP="00101CD6">
      <w:r>
        <w:t xml:space="preserve">Zum </w:t>
      </w:r>
      <w:r w:rsidR="00AF5B51">
        <w:t>v</w:t>
      </w:r>
      <w:r>
        <w:t>orgezogene</w:t>
      </w:r>
      <w:r w:rsidR="00AF5B51">
        <w:t>n</w:t>
      </w:r>
      <w:r>
        <w:t xml:space="preserve"> Opt-in von TAB im nationalen Alleingang in den EU-Emissionshandel</w:t>
      </w:r>
    </w:p>
    <w:p w14:paraId="4CC7F9B3" w14:textId="12C9ADFB" w:rsidR="001F00E4" w:rsidRDefault="001F00E4">
      <w:r>
        <w:t>Beispielsweise an MdL und MdB</w:t>
      </w:r>
    </w:p>
    <w:p w14:paraId="255E4711" w14:textId="7726A482" w:rsidR="001F00E4" w:rsidRDefault="00D9166D">
      <w:r>
        <w:t>Textbausteine – bitte individuell anpassen</w:t>
      </w:r>
    </w:p>
    <w:p w14:paraId="1A8CE6C0" w14:textId="77777777" w:rsidR="00101CD6" w:rsidRDefault="00101CD6"/>
    <w:p w14:paraId="1AD87EBE" w14:textId="2E24F594" w:rsidR="00101CD6" w:rsidRPr="00101CD6" w:rsidRDefault="00101CD6">
      <w:pPr>
        <w:rPr>
          <w:b/>
          <w:bCs/>
        </w:rPr>
      </w:pPr>
      <w:r w:rsidRPr="00101CD6">
        <w:rPr>
          <w:b/>
          <w:bCs/>
        </w:rPr>
        <w:t>Kein Emissionshandel für Abfallverbrennungsanlagen</w:t>
      </w:r>
    </w:p>
    <w:p w14:paraId="75F89491" w14:textId="28815942" w:rsidR="00101CD6" w:rsidRDefault="00101CD6">
      <w:r>
        <w:t>Sehr geehrte…</w:t>
      </w:r>
    </w:p>
    <w:p w14:paraId="302E8B9B" w14:textId="2E074AAA" w:rsidR="00101CD6" w:rsidRPr="00865E99" w:rsidRDefault="00D9166D">
      <w:r w:rsidRPr="00865E99">
        <w:t>mit Unterstützung von unserem Aufsichtsratsvorsitzende</w:t>
      </w:r>
      <w:r w:rsidR="00C10C6B" w:rsidRPr="00865E99">
        <w:t>n</w:t>
      </w:r>
      <w:r w:rsidR="0026410E" w:rsidRPr="00865E99">
        <w:t>/Bürgermeister/Landrat</w:t>
      </w:r>
      <w:r w:rsidRPr="00865E99">
        <w:t xml:space="preserve"> XY möchten wir</w:t>
      </w:r>
      <w:r w:rsidR="00C10C6B" w:rsidRPr="00865E99">
        <w:t xml:space="preserve"> Sie</w:t>
      </w:r>
      <w:r w:rsidRPr="00865E99">
        <w:t xml:space="preserve"> auf ein sehr komplexes Gesetzgebungsverfahren der Bundesregierung </w:t>
      </w:r>
      <w:r w:rsidR="00C10C6B" w:rsidRPr="00865E99">
        <w:t>aufmerksam machen</w:t>
      </w:r>
      <w:r w:rsidRPr="00865E99">
        <w:t>, das uns vor massiven Herausforderungen stellen wird</w:t>
      </w:r>
      <w:r w:rsidR="0026410E" w:rsidRPr="00865E99">
        <w:t>:</w:t>
      </w:r>
      <w:r w:rsidR="00B354F7" w:rsidRPr="00865E99">
        <w:t xml:space="preserve"> „TEHG-Europarechtsanpassungsgesetz 2024“</w:t>
      </w:r>
    </w:p>
    <w:p w14:paraId="71D87C74" w14:textId="77777777" w:rsidR="00B354F7" w:rsidRDefault="00B354F7"/>
    <w:p w14:paraId="18F44E67" w14:textId="212C6182" w:rsidR="0026410E" w:rsidRPr="008A3911" w:rsidRDefault="0026410E">
      <w:pPr>
        <w:rPr>
          <w:b/>
          <w:bCs/>
        </w:rPr>
      </w:pPr>
      <w:r w:rsidRPr="008A3911">
        <w:rPr>
          <w:b/>
          <w:bCs/>
        </w:rPr>
        <w:t>Um was geht es?</w:t>
      </w:r>
    </w:p>
    <w:p w14:paraId="6E7763A6" w14:textId="31F8DF6F" w:rsidR="0026410E" w:rsidRPr="00865E99" w:rsidRDefault="0026410E">
      <w:r w:rsidRPr="00865E99">
        <w:t xml:space="preserve">Das Bundeskabinett hat am 09. Oktober </w:t>
      </w:r>
      <w:r w:rsidR="001D1DD1" w:rsidRPr="00865E99">
        <w:t xml:space="preserve">den </w:t>
      </w:r>
      <w:r w:rsidR="00AC4BF4" w:rsidRPr="00865E99">
        <w:t>Novellierungsentwurf des TEHG</w:t>
      </w:r>
      <w:r w:rsidRPr="00865E99">
        <w:t xml:space="preserve"> verabschiedet</w:t>
      </w:r>
      <w:r w:rsidR="00493FD7" w:rsidRPr="00865E99">
        <w:t xml:space="preserve"> und das parlamentarische Verfahren eröffnet.</w:t>
      </w:r>
      <w:r w:rsidRPr="00865E99">
        <w:t xml:space="preserve"> </w:t>
      </w:r>
      <w:r w:rsidR="003C6CD4" w:rsidRPr="00865E99">
        <w:t>Das TEHG</w:t>
      </w:r>
      <w:r w:rsidRPr="00865E99">
        <w:t xml:space="preserve"> soll voraussichtlich am 09. November in erster Lesung im Bundestag beraten werden. Die </w:t>
      </w:r>
      <w:hyperlink r:id="rId5" w:history="1">
        <w:r w:rsidRPr="00865E99">
          <w:rPr>
            <w:rStyle w:val="Hyperlink"/>
            <w:color w:val="auto"/>
          </w:rPr>
          <w:t>Überweisung an den Bundesrat</w:t>
        </w:r>
      </w:hyperlink>
      <w:r w:rsidRPr="00865E99">
        <w:t xml:space="preserve"> ist bereits erfolgt.</w:t>
      </w:r>
      <w:r w:rsidR="005D55FD" w:rsidRPr="00865E99">
        <w:t xml:space="preserve"> Es handelt sich lediglich um ein Einspruchsgesetz.</w:t>
      </w:r>
    </w:p>
    <w:p w14:paraId="3A1154F2" w14:textId="4362B3C9" w:rsidR="0026410E" w:rsidRPr="00865E99" w:rsidRDefault="005D55FD" w:rsidP="00590ED5">
      <w:r w:rsidRPr="00865E99">
        <w:t>Im § 52 TEHG-E ist ein Opt-in für „Siedlungsabfallverbrennungsanlagen“ vorgesehen – also neben der ab Jan. 2024 bereits bestehenden Berichtspflicht im EU Emissionshandel (EU-ETS I) wechseln die Anlagen vom nationalen Brennstoffemissionshandel (Berichts- und Zertifikat</w:t>
      </w:r>
      <w:r w:rsidR="00E3151F" w:rsidRPr="00865E99">
        <w:t>s</w:t>
      </w:r>
      <w:r w:rsidR="002E35C3" w:rsidRPr="00865E99">
        <w:t>p</w:t>
      </w:r>
      <w:r w:rsidRPr="00865E99">
        <w:t>flicht gemäß BEHG ab Jan. 2024) ab Jan. 2027 vollständig in den EU-ETS I (also auch Zertifikat</w:t>
      </w:r>
      <w:r w:rsidR="001D569E" w:rsidRPr="00865E99">
        <w:t>sp</w:t>
      </w:r>
      <w:r w:rsidRPr="00865E99">
        <w:t xml:space="preserve">flicht). Dies ist ein vorgezogener </w:t>
      </w:r>
      <w:r w:rsidR="001D569E" w:rsidRPr="00865E99">
        <w:t xml:space="preserve">nationaler </w:t>
      </w:r>
      <w:r w:rsidRPr="00865E99">
        <w:t>Alleingang</w:t>
      </w:r>
      <w:r w:rsidR="00590ED5" w:rsidRPr="00865E99">
        <w:t xml:space="preserve"> der Bundesregierung</w:t>
      </w:r>
      <w:r w:rsidRPr="00865E99">
        <w:t xml:space="preserve">, </w:t>
      </w:r>
      <w:r w:rsidR="00590ED5" w:rsidRPr="00865E99">
        <w:t xml:space="preserve">welcher </w:t>
      </w:r>
      <w:r w:rsidRPr="00865E99">
        <w:t>über die 1:1 Umsetzung des europäischen Rechts hinausgeht</w:t>
      </w:r>
      <w:r w:rsidR="0073064A" w:rsidRPr="00865E99">
        <w:t>.</w:t>
      </w:r>
      <w:r w:rsidRPr="00865E99">
        <w:t xml:space="preserve"> </w:t>
      </w:r>
      <w:r w:rsidR="0073064A" w:rsidRPr="00865E99">
        <w:t>Die Novelle verstößt</w:t>
      </w:r>
      <w:r w:rsidR="008A3911" w:rsidRPr="00865E99">
        <w:t xml:space="preserve"> </w:t>
      </w:r>
      <w:r w:rsidRPr="00865E99">
        <w:t>gegen die selbst auferlegten Governance-Regeln</w:t>
      </w:r>
      <w:r w:rsidR="000A4CC1" w:rsidRPr="00865E99">
        <w:t xml:space="preserve"> der Bundesregierung</w:t>
      </w:r>
      <w:r w:rsidRPr="00865E99">
        <w:t xml:space="preserve"> </w:t>
      </w:r>
      <w:r w:rsidR="004A2034" w:rsidRPr="00865E99">
        <w:t>im Koalitionsvertrag zum Bürokratieabbau</w:t>
      </w:r>
      <w:r w:rsidRPr="00865E99">
        <w:t>.</w:t>
      </w:r>
    </w:p>
    <w:p w14:paraId="7CE628C8" w14:textId="77777777" w:rsidR="008A3911" w:rsidRDefault="008A3911"/>
    <w:p w14:paraId="68F54EA9" w14:textId="57B4D77F" w:rsidR="008A3911" w:rsidRPr="008A3911" w:rsidRDefault="008A3911">
      <w:pPr>
        <w:rPr>
          <w:b/>
          <w:bCs/>
        </w:rPr>
      </w:pPr>
      <w:r w:rsidRPr="008A3911">
        <w:rPr>
          <w:b/>
          <w:bCs/>
        </w:rPr>
        <w:t>Wo stehen wir beim Emissionshandel?</w:t>
      </w:r>
    </w:p>
    <w:p w14:paraId="5848412A" w14:textId="3C98009C" w:rsidR="008A3911" w:rsidRDefault="008A3911">
      <w:r>
        <w:t>Seit Januar 2024 unterliegen die Thermischen Abfallbehandlungsanlagen (TAB) dem nationalen Emissionshandel (</w:t>
      </w:r>
      <w:proofErr w:type="spellStart"/>
      <w:r>
        <w:t>nETS</w:t>
      </w:r>
      <w:proofErr w:type="spellEnd"/>
      <w:r>
        <w:t xml:space="preserve">, umgesetzt im Brennstoffemissionshandelsgesetz - BEHG), dieser gilt nur in Deutschland. Somit müssen wir über unseren „Brennstoffinput“ berichten und demnächst die dafür notwendigen Zertifikate kaufen. Die Kosten in 2024 belaufen sich bei </w:t>
      </w:r>
      <w:r>
        <w:lastRenderedPageBreak/>
        <w:t xml:space="preserve">uns </w:t>
      </w:r>
      <w:r w:rsidR="008F7A49" w:rsidRPr="00865E99">
        <w:t>auf ca.</w:t>
      </w:r>
      <w:r w:rsidRPr="00865E99">
        <w:t xml:space="preserve"> </w:t>
      </w:r>
      <w:r>
        <w:t xml:space="preserve">XY Mio. €. </w:t>
      </w:r>
      <w:r w:rsidRPr="008A3911">
        <w:rPr>
          <w:i/>
          <w:iCs/>
        </w:rPr>
        <w:t>[Anregung: an dieser Stelle ggfs. über die Herausforderungen der Weiterberechnung berichten]</w:t>
      </w:r>
    </w:p>
    <w:p w14:paraId="2B5C5B36" w14:textId="54A147C3" w:rsidR="00D40586" w:rsidRPr="00865E99" w:rsidRDefault="008A3911">
      <w:r w:rsidRPr="00865E99">
        <w:t xml:space="preserve">Nach dem EU-Recht müssten wir </w:t>
      </w:r>
      <w:r w:rsidR="00D40586" w:rsidRPr="00865E99">
        <w:t xml:space="preserve">bereits </w:t>
      </w:r>
      <w:r w:rsidR="00384FE7" w:rsidRPr="00865E99">
        <w:t xml:space="preserve">seit </w:t>
      </w:r>
      <w:r w:rsidRPr="00865E99">
        <w:t xml:space="preserve">Januar 2024 </w:t>
      </w:r>
      <w:r w:rsidR="00D40586" w:rsidRPr="00865E99">
        <w:t xml:space="preserve">nach den Regeln des EU-ETS I berichten. Da die Bundesregierung die Frist zur notwendigen nationalen Umsetzung (Ende 2023) </w:t>
      </w:r>
      <w:r w:rsidR="00F24459" w:rsidRPr="00865E99">
        <w:t xml:space="preserve">nicht </w:t>
      </w:r>
      <w:r w:rsidR="00384FE7" w:rsidRPr="00865E99">
        <w:t xml:space="preserve">realisieren </w:t>
      </w:r>
      <w:r w:rsidR="00F24459" w:rsidRPr="00865E99">
        <w:t>konnte</w:t>
      </w:r>
      <w:r w:rsidR="00D40586" w:rsidRPr="00865E99">
        <w:t xml:space="preserve"> (EU-Vertragsverletzungsverfahren ist anhängig) und erst jetzt mit dem TEHG-E</w:t>
      </w:r>
      <w:r w:rsidR="00794A55" w:rsidRPr="00865E99">
        <w:t>ntwurf</w:t>
      </w:r>
      <w:r w:rsidR="00D40586" w:rsidRPr="00865E99">
        <w:t xml:space="preserve"> die Rechtsgrundlagen </w:t>
      </w:r>
      <w:r w:rsidR="00EC7116" w:rsidRPr="00865E99">
        <w:t xml:space="preserve">schaffen </w:t>
      </w:r>
      <w:r w:rsidR="00D40586" w:rsidRPr="00865E99">
        <w:t xml:space="preserve">will, besteht eine behördlich bestätigte Aussetzung der </w:t>
      </w:r>
      <w:r w:rsidR="00E2587F" w:rsidRPr="00865E99">
        <w:t>Berichts</w:t>
      </w:r>
      <w:r w:rsidR="00D40586" w:rsidRPr="00865E99">
        <w:t>pflicht</w:t>
      </w:r>
      <w:r w:rsidR="00E2587F" w:rsidRPr="00865E99">
        <w:t>en</w:t>
      </w:r>
      <w:r w:rsidR="00D40586" w:rsidRPr="00865E99">
        <w:t>.</w:t>
      </w:r>
    </w:p>
    <w:p w14:paraId="20FE94A6" w14:textId="39120F52" w:rsidR="008A3911" w:rsidRPr="00865E99" w:rsidRDefault="00D40586">
      <w:r w:rsidRPr="00865E99">
        <w:t>Somit unterliegen die TAB ab Januar 2024 sowohl dem BEHG mit de</w:t>
      </w:r>
      <w:r w:rsidR="00F24459" w:rsidRPr="00865E99">
        <w:t>r</w:t>
      </w:r>
      <w:r w:rsidRPr="00865E99">
        <w:t xml:space="preserve"> Berichts- und Zertifikat</w:t>
      </w:r>
      <w:r w:rsidR="00794A55" w:rsidRPr="00865E99">
        <w:t>sp</w:t>
      </w:r>
      <w:r w:rsidRPr="00865E99">
        <w:t xml:space="preserve">flicht </w:t>
      </w:r>
      <w:r w:rsidR="00512DF9" w:rsidRPr="00865E99">
        <w:t xml:space="preserve">als auch </w:t>
      </w:r>
      <w:r w:rsidRPr="00865E99">
        <w:t>formal der Berichts</w:t>
      </w:r>
      <w:r w:rsidR="00794A55" w:rsidRPr="00865E99">
        <w:t>p</w:t>
      </w:r>
      <w:r w:rsidRPr="00865E99">
        <w:t>flicht nach dem TEHG. Dies ist nach Branchenmeinung eine unzulässige „Doppelmitgliedschaft“, sodass</w:t>
      </w:r>
      <w:r w:rsidR="00F24459" w:rsidRPr="00865E99">
        <w:t xml:space="preserve"> seit Dezember</w:t>
      </w:r>
      <w:r w:rsidRPr="00865E99">
        <w:t xml:space="preserve"> 202</w:t>
      </w:r>
      <w:r w:rsidR="0035280C" w:rsidRPr="00865E99">
        <w:t xml:space="preserve">3 eine Feststellungsklage gegen die Einbeziehung in das BEHG </w:t>
      </w:r>
      <w:r w:rsidR="00F24459" w:rsidRPr="00865E99">
        <w:t>anhängig ist</w:t>
      </w:r>
      <w:r w:rsidR="0035280C" w:rsidRPr="00865E99">
        <w:t xml:space="preserve"> </w:t>
      </w:r>
      <w:r w:rsidR="0035280C" w:rsidRPr="00865E99">
        <w:rPr>
          <w:i/>
          <w:iCs/>
        </w:rPr>
        <w:t>[Anregung: deutlich machen, das</w:t>
      </w:r>
      <w:r w:rsidR="00512DF9" w:rsidRPr="00865E99">
        <w:rPr>
          <w:i/>
          <w:iCs/>
        </w:rPr>
        <w:t>s</w:t>
      </w:r>
      <w:r w:rsidR="0035280C" w:rsidRPr="00865E99">
        <w:rPr>
          <w:i/>
          <w:iCs/>
        </w:rPr>
        <w:t xml:space="preserve"> Betreiber die Feststellungsklage der GML unterstützt].</w:t>
      </w:r>
    </w:p>
    <w:p w14:paraId="73968415" w14:textId="77777777" w:rsidR="008A3911" w:rsidRDefault="008A3911"/>
    <w:p w14:paraId="17A65F15" w14:textId="77777777" w:rsidR="00F24459" w:rsidRPr="00F24459" w:rsidRDefault="00F24459" w:rsidP="00F24459">
      <w:pPr>
        <w:rPr>
          <w:b/>
          <w:bCs/>
        </w:rPr>
      </w:pPr>
      <w:r w:rsidRPr="00F24459">
        <w:rPr>
          <w:b/>
          <w:bCs/>
        </w:rPr>
        <w:t>Warum ist der Emissionshandel für die Abfallwirtschaft ungeeignet?</w:t>
      </w:r>
    </w:p>
    <w:p w14:paraId="393F6E4A" w14:textId="05FFD2B9" w:rsidR="00512DF9" w:rsidRPr="00865E99" w:rsidRDefault="00F24459" w:rsidP="00F24459">
      <w:r w:rsidRPr="00865E99">
        <w:t>Grundsätzlich ist festzuhalten:</w:t>
      </w:r>
      <w:r w:rsidR="00C02DA4" w:rsidRPr="00865E99">
        <w:t xml:space="preserve"> </w:t>
      </w:r>
      <w:r w:rsidRPr="00865E99">
        <w:t>„Abfall ist kein normaler Brennstoff!“</w:t>
      </w:r>
      <w:r w:rsidR="00512DF9" w:rsidRPr="00865E99">
        <w:t>,</w:t>
      </w:r>
      <w:r w:rsidRPr="00865E99">
        <w:t xml:space="preserve"> oder pointiert ausgedrückt: „Öl kann in der Erde bleiben, Abfälle aber nicht in der Tonne“ und „Abfallverbrennungsanlagen sind keine klassischen Kraftwerke!“ oder pointiert ausgedrückt: „Der Bunker muss leer werden!“. Die Abfallverbrennung ist ein Teil der Daseinsvorsorge</w:t>
      </w:r>
      <w:r w:rsidR="00F77F4E" w:rsidRPr="00865E99">
        <w:t xml:space="preserve"> bzw. kritischen Infrastruktur</w:t>
      </w:r>
      <w:r w:rsidRPr="00865E99">
        <w:t xml:space="preserve"> und erfüllt </w:t>
      </w:r>
      <w:hyperlink r:id="rId6" w:history="1">
        <w:r w:rsidRPr="00865E99">
          <w:rPr>
            <w:rStyle w:val="Hyperlink"/>
            <w:color w:val="auto"/>
          </w:rPr>
          <w:t>weitergehende Anforderungen</w:t>
        </w:r>
      </w:hyperlink>
      <w:r w:rsidRPr="00865E99">
        <w:t xml:space="preserve"> als </w:t>
      </w:r>
      <w:r w:rsidR="00794A55" w:rsidRPr="00865E99">
        <w:t xml:space="preserve">die </w:t>
      </w:r>
      <w:r w:rsidRPr="00865E99">
        <w:t>klassische Energieversorgung</w:t>
      </w:r>
      <w:r w:rsidR="00B84AA0" w:rsidRPr="00865E99">
        <w:t xml:space="preserve"> – u.a. die Aufrechterhaltung der Entsorgungssicherheit</w:t>
      </w:r>
      <w:r w:rsidR="00600080" w:rsidRPr="00865E99">
        <w:t xml:space="preserve"> und Hygi</w:t>
      </w:r>
      <w:r w:rsidR="009D6C87" w:rsidRPr="00865E99">
        <w:t>e</w:t>
      </w:r>
      <w:r w:rsidR="00600080" w:rsidRPr="00865E99">
        <w:t>nisierung</w:t>
      </w:r>
      <w:r w:rsidR="00B84AA0" w:rsidRPr="00865E99">
        <w:t xml:space="preserve">, </w:t>
      </w:r>
      <w:proofErr w:type="spellStart"/>
      <w:r w:rsidR="00B84AA0" w:rsidRPr="00865E99">
        <w:t>Schadstoff</w:t>
      </w:r>
      <w:r w:rsidR="00794A55" w:rsidRPr="00865E99">
        <w:t>e</w:t>
      </w:r>
      <w:r w:rsidR="00B84AA0" w:rsidRPr="00865E99">
        <w:t>ntfra</w:t>
      </w:r>
      <w:r w:rsidR="008C6942" w:rsidRPr="00865E99">
        <w:t>chtung</w:t>
      </w:r>
      <w:proofErr w:type="spellEnd"/>
      <w:r w:rsidR="008C6942" w:rsidRPr="00865E99">
        <w:t xml:space="preserve"> für das Recycling</w:t>
      </w:r>
      <w:r w:rsidR="000F4812" w:rsidRPr="00865E99">
        <w:t xml:space="preserve"> etc.</w:t>
      </w:r>
      <w:r w:rsidRPr="00865E99">
        <w:t xml:space="preserve"> </w:t>
      </w:r>
    </w:p>
    <w:p w14:paraId="573C9B4F" w14:textId="4243A573" w:rsidR="00F24459" w:rsidRPr="00865E99" w:rsidRDefault="00F24459" w:rsidP="00F24459">
      <w:r w:rsidRPr="00865E99">
        <w:t xml:space="preserve">Daher greifen </w:t>
      </w:r>
      <w:r w:rsidR="00512DF9" w:rsidRPr="00865E99">
        <w:t xml:space="preserve">zusätzlich </w:t>
      </w:r>
      <w:r w:rsidRPr="00865E99">
        <w:t xml:space="preserve">andere Mechanismen, </w:t>
      </w:r>
      <w:r w:rsidR="008F3F43" w:rsidRPr="00865E99">
        <w:t>deren Lenkungsfunktion</w:t>
      </w:r>
      <w:r w:rsidR="005B7B6B" w:rsidRPr="00865E99">
        <w:t xml:space="preserve">en </w:t>
      </w:r>
      <w:r w:rsidRPr="00865E99">
        <w:t xml:space="preserve">für </w:t>
      </w:r>
      <w:r w:rsidR="00621B20" w:rsidRPr="00865E99">
        <w:t>den</w:t>
      </w:r>
      <w:r w:rsidRPr="00865E99">
        <w:t xml:space="preserve"> Emissionshandel ungeeignet sind.</w:t>
      </w:r>
    </w:p>
    <w:p w14:paraId="765AC03C" w14:textId="7E4C3C46" w:rsidR="00F24459" w:rsidRPr="00865E99" w:rsidRDefault="002D745B" w:rsidP="00F24459">
      <w:r w:rsidRPr="00865E99">
        <w:t>Die Betreiber von TAB sind sich ihrer Verantwortung für den Klimaschutz bewusst und arbeiten beispielsweise an der weiteren Ausgestaltung der Carbon</w:t>
      </w:r>
      <w:r w:rsidR="00512DF9" w:rsidRPr="00865E99">
        <w:t>-</w:t>
      </w:r>
      <w:r w:rsidRPr="00865E99">
        <w:t>Management</w:t>
      </w:r>
      <w:r w:rsidR="00512DF9" w:rsidRPr="00865E99">
        <w:t>-</w:t>
      </w:r>
      <w:r w:rsidRPr="00865E99">
        <w:t>Strategie (CMS) der Bundesregierung aktiv mit. [Anregung: eigene Projekt</w:t>
      </w:r>
      <w:r w:rsidR="00512DF9" w:rsidRPr="00865E99">
        <w:t>e</w:t>
      </w:r>
      <w:r w:rsidRPr="00865E99">
        <w:t xml:space="preserve"> zu CMS benennen, notfalls auf die CO</w:t>
      </w:r>
      <w:r w:rsidRPr="00865E99">
        <w:rPr>
          <w:vertAlign w:val="subscript"/>
        </w:rPr>
        <w:t>2</w:t>
      </w:r>
      <w:r w:rsidR="00512DF9" w:rsidRPr="00865E99">
        <w:t>-</w:t>
      </w:r>
      <w:r w:rsidRPr="00865E99">
        <w:t>Einsparung durch die Abwärme</w:t>
      </w:r>
      <w:r w:rsidR="00794A55" w:rsidRPr="00865E99">
        <w:t>-E</w:t>
      </w:r>
      <w:r w:rsidRPr="00865E99">
        <w:t>inspeisung</w:t>
      </w:r>
      <w:r w:rsidR="00794A55" w:rsidRPr="00865E99">
        <w:t xml:space="preserve"> in Fernwärmenetze und Prozessdampf</w:t>
      </w:r>
      <w:r w:rsidR="00512DF9" w:rsidRPr="00865E99">
        <w:t>lieferungen</w:t>
      </w:r>
      <w:r w:rsidRPr="00865E99">
        <w:t xml:space="preserve"> hinweisen.]</w:t>
      </w:r>
    </w:p>
    <w:p w14:paraId="5F971C29" w14:textId="77777777" w:rsidR="00F24459" w:rsidRDefault="00F24459" w:rsidP="00F24459"/>
    <w:p w14:paraId="31FF6956" w14:textId="0887E57A" w:rsidR="002D745B" w:rsidRPr="002D745B" w:rsidRDefault="002D745B" w:rsidP="00F24459">
      <w:pPr>
        <w:rPr>
          <w:b/>
          <w:bCs/>
        </w:rPr>
      </w:pPr>
      <w:r w:rsidRPr="002D745B">
        <w:rPr>
          <w:b/>
          <w:bCs/>
        </w:rPr>
        <w:t>Was sieht die EU vor?</w:t>
      </w:r>
    </w:p>
    <w:p w14:paraId="681ECCB1" w14:textId="226C2753" w:rsidR="00D40586" w:rsidRDefault="00A55783">
      <w:r>
        <w:t xml:space="preserve">Aufgrund der Funktion im Rahmen der Daseinsvorsorge und den besonderen Mechanismen der Kreislaufwirtschaft wurden Abfallverbrennungsanlagen bisher nicht </w:t>
      </w:r>
      <w:r w:rsidR="00FE753E">
        <w:t xml:space="preserve">operativ </w:t>
      </w:r>
      <w:r>
        <w:t xml:space="preserve">in den EU-Emissionshandel einbezogen. Die EU-Kommission muss anhand von 12 Kriterien bis Mitte 2026 </w:t>
      </w:r>
      <w:r w:rsidR="00927B2F">
        <w:t>mittels</w:t>
      </w:r>
      <w:r>
        <w:t xml:space="preserve"> einer Impact</w:t>
      </w:r>
      <w:r w:rsidR="00512DF9">
        <w:t>-</w:t>
      </w:r>
      <w:r>
        <w:t>Analyse prüfen, ob bestimmte Anlagen</w:t>
      </w:r>
      <w:r w:rsidR="001E491A">
        <w:t>arten/-größen</w:t>
      </w:r>
      <w:r>
        <w:t xml:space="preserve"> ab Januar </w:t>
      </w:r>
      <w:r>
        <w:lastRenderedPageBreak/>
        <w:t xml:space="preserve">2028 vollständigen </w:t>
      </w:r>
      <w:r w:rsidR="00B266C6">
        <w:t xml:space="preserve">den </w:t>
      </w:r>
      <w:r>
        <w:t xml:space="preserve">Pflichten des EU-ETS I unterliegen sollen. Dabei ist </w:t>
      </w:r>
      <w:r w:rsidR="003D2C1D">
        <w:t xml:space="preserve">u.a. </w:t>
      </w:r>
      <w:r>
        <w:t xml:space="preserve">zu berücksichtigen, wie </w:t>
      </w:r>
      <w:r w:rsidR="003D2C1D">
        <w:t xml:space="preserve">sich </w:t>
      </w:r>
      <w:r>
        <w:t>Wettbewerbsverzerrungen</w:t>
      </w:r>
      <w:r w:rsidR="00794A55">
        <w:t>,</w:t>
      </w:r>
      <w:r>
        <w:t xml:space="preserve"> </w:t>
      </w:r>
      <w:r w:rsidR="00794A55">
        <w:t>(</w:t>
      </w:r>
      <w:r>
        <w:t>(illegale) Export</w:t>
      </w:r>
      <w:r w:rsidR="00B266C6">
        <w:t>e</w:t>
      </w:r>
      <w:r>
        <w:t xml:space="preserve"> außerhalb der EU, Deponierung (es werden in der EU noch rund 100 Mio. Tonnen </w:t>
      </w:r>
      <w:proofErr w:type="spellStart"/>
      <w:r>
        <w:t>unvorbehandelte</w:t>
      </w:r>
      <w:proofErr w:type="spellEnd"/>
      <w:r>
        <w:t xml:space="preserve"> Abfälle deponiert</w:t>
      </w:r>
      <w:r w:rsidR="00B266C6">
        <w:t xml:space="preserve"> –</w:t>
      </w:r>
      <w:r>
        <w:t xml:space="preserve"> seit 2005 in Deutschland verboten)</w:t>
      </w:r>
      <w:r w:rsidR="004E603B">
        <w:t xml:space="preserve"> etc.</w:t>
      </w:r>
      <w:r>
        <w:t xml:space="preserve">), </w:t>
      </w:r>
      <w:r w:rsidR="003D2C1D">
        <w:t>Ziele der Abfallrahmenrichtlinie und Umweltintegrität auswirken. Diese Analyse und weitere offene Fragen werden durch den nationalen Vorstoß der Bundesregierung ignoriert.</w:t>
      </w:r>
    </w:p>
    <w:p w14:paraId="2DF2083C" w14:textId="77777777" w:rsidR="002D745B" w:rsidRDefault="002D745B"/>
    <w:p w14:paraId="531030A8" w14:textId="77777777" w:rsidR="00F24459" w:rsidRPr="00F24459" w:rsidRDefault="00F24459" w:rsidP="00F24459">
      <w:pPr>
        <w:rPr>
          <w:b/>
          <w:bCs/>
        </w:rPr>
      </w:pPr>
      <w:r w:rsidRPr="00F24459">
        <w:rPr>
          <w:b/>
          <w:bCs/>
        </w:rPr>
        <w:t>Welche Auswirkungen sind zu erwarten?</w:t>
      </w:r>
    </w:p>
    <w:p w14:paraId="05D9AFAC" w14:textId="52931802" w:rsidR="00D40586" w:rsidRPr="00865E99" w:rsidRDefault="003D2C1D">
      <w:r w:rsidRPr="00865E99">
        <w:t>Neben den oben bereits beschrieben europäischen Wettbewerbsverzerrungen kommen noch zahlreiche weitere Aspekt</w:t>
      </w:r>
      <w:r w:rsidR="00794A55" w:rsidRPr="00865E99">
        <w:t>e</w:t>
      </w:r>
      <w:r w:rsidRPr="00865E99">
        <w:t xml:space="preserve"> hinzu, die </w:t>
      </w:r>
      <w:r w:rsidR="00EC1FCE" w:rsidRPr="00865E99">
        <w:t>zu massiven Herausforderung</w:t>
      </w:r>
      <w:r w:rsidR="00794A55" w:rsidRPr="00865E99">
        <w:t>en</w:t>
      </w:r>
      <w:r w:rsidR="00EC1FCE" w:rsidRPr="00865E99">
        <w:t xml:space="preserve"> </w:t>
      </w:r>
      <w:r w:rsidR="00794A55" w:rsidRPr="00865E99">
        <w:t xml:space="preserve">für die </w:t>
      </w:r>
      <w:r w:rsidR="00EC1FCE" w:rsidRPr="00865E99">
        <w:t xml:space="preserve">gesamte Abfallwirtschaft in Deutschland </w:t>
      </w:r>
      <w:r w:rsidR="00794A55" w:rsidRPr="00865E99">
        <w:t>werden können</w:t>
      </w:r>
      <w:r w:rsidR="00EC1FCE" w:rsidRPr="00865E99">
        <w:t>. Im Folgenden sind diese kurz angerissen:</w:t>
      </w:r>
    </w:p>
    <w:p w14:paraId="47B5FB52" w14:textId="4AED9A44" w:rsidR="00E65ED4" w:rsidRPr="00865E99" w:rsidRDefault="00EC1FCE" w:rsidP="00EC1FCE">
      <w:pPr>
        <w:pStyle w:val="Listenabsatz"/>
        <w:numPr>
          <w:ilvl w:val="0"/>
          <w:numId w:val="1"/>
        </w:numPr>
      </w:pPr>
      <w:r w:rsidRPr="00865E99">
        <w:t xml:space="preserve">Durch den Opt-in erfolgt ein tiefgreifender Systemwechsel, weil sich die Bemessungsgrundlage für die Zertifikatsmenge </w:t>
      </w:r>
      <w:r w:rsidR="00B266C6" w:rsidRPr="00865E99">
        <w:t>ver</w:t>
      </w:r>
      <w:r w:rsidRPr="00865E99">
        <w:t xml:space="preserve">ändert. </w:t>
      </w:r>
    </w:p>
    <w:p w14:paraId="497C5E6C" w14:textId="52AFF9D6" w:rsidR="00EC1FCE" w:rsidRPr="00865E99" w:rsidRDefault="00EC1FCE" w:rsidP="00865E99">
      <w:pPr>
        <w:pStyle w:val="Listenabsatz"/>
      </w:pPr>
      <w:r w:rsidRPr="00865E99">
        <w:t xml:space="preserve">Im BEHG </w:t>
      </w:r>
      <w:r w:rsidR="00B266C6" w:rsidRPr="00865E99">
        <w:t>ist der</w:t>
      </w:r>
      <w:r w:rsidRPr="00865E99">
        <w:t xml:space="preserve"> „Brennstoff“ als Input in die Anlage </w:t>
      </w:r>
      <w:r w:rsidR="00B266C6" w:rsidRPr="00865E99">
        <w:t>die relevante Messgröße</w:t>
      </w:r>
      <w:r w:rsidRPr="00865E99">
        <w:t xml:space="preserve">, mit Standard-/Richtwerten wird i.d.R. dann die </w:t>
      </w:r>
      <w:r w:rsidR="00794A55" w:rsidRPr="00865E99">
        <w:t xml:space="preserve">benötigte </w:t>
      </w:r>
      <w:r w:rsidRPr="00865E99">
        <w:t xml:space="preserve">Zertifikatsmenge berechnet und kann mit dem Anlieferer/Gebührenzahler transparent </w:t>
      </w:r>
      <w:r w:rsidR="00E65ED4" w:rsidRPr="00865E99">
        <w:t>abgerechnet</w:t>
      </w:r>
      <w:r w:rsidRPr="00865E99">
        <w:t xml:space="preserve"> werden. </w:t>
      </w:r>
      <w:r w:rsidR="00E65ED4" w:rsidRPr="00865E99">
        <w:t>Jedoch sind bereits Marktverwerfungen durch die Standardwerte erkennbar.</w:t>
      </w:r>
      <w:r w:rsidR="00865E99" w:rsidRPr="00865E99">
        <w:t xml:space="preserve"> </w:t>
      </w:r>
      <w:r w:rsidRPr="00865E99">
        <w:t>Beim TEHG werden die CO</w:t>
      </w:r>
      <w:r w:rsidRPr="00865E99">
        <w:rPr>
          <w:vertAlign w:val="subscript"/>
        </w:rPr>
        <w:t>2</w:t>
      </w:r>
      <w:r w:rsidRPr="00865E99">
        <w:t xml:space="preserve">-Emissionen am „Kamin“ als Abrechnungsgrundlage mittels Abfallanalytik oder der Kontinuierlichen Emissionsmessung (KEMS) ermittelt. Für die gleiche Abfallart/-menge können sich somit gravierende </w:t>
      </w:r>
      <w:r w:rsidR="00B266C6" w:rsidRPr="00865E99">
        <w:t>Kostenu</w:t>
      </w:r>
      <w:r w:rsidRPr="00865E99">
        <w:t>nterschiede ergeben, wie das Beispiel Kunststoff zeigt. Bei der Verbrennung einer Tonne Kunststoffe entstehen drei Tonnen CO</w:t>
      </w:r>
      <w:r w:rsidRPr="00865E99">
        <w:rPr>
          <w:vertAlign w:val="subscript"/>
        </w:rPr>
        <w:t>2</w:t>
      </w:r>
      <w:r w:rsidRPr="00865E99">
        <w:t>, somit sind drei Zertifikate im TEHG-System notwendig. Im BEHG-System benötigt man aufgrund des hinterlegten Standardfaktors weniger als ein Zertifikat. Hinzu kommen noch die erheblich höheren Zertifikatspreise im</w:t>
      </w:r>
      <w:r w:rsidR="009111DC" w:rsidRPr="00865E99">
        <w:t xml:space="preserve"> EU-ETS I</w:t>
      </w:r>
      <w:r w:rsidRPr="00865E99">
        <w:t>. Somit können sich die Entsorgungskosten je nach Abfallart und Zertifikatspreis um ein Vielfaches erhöhen – es entsteht eine unvorhersehbare Marktdynamik.</w:t>
      </w:r>
    </w:p>
    <w:p w14:paraId="1C6E2571" w14:textId="77777777" w:rsidR="00801566" w:rsidRDefault="00801566" w:rsidP="00801566">
      <w:pPr>
        <w:pStyle w:val="Listenabsatz"/>
      </w:pPr>
    </w:p>
    <w:p w14:paraId="14D0A05C" w14:textId="441077A9" w:rsidR="00801566" w:rsidRDefault="00EC1FCE" w:rsidP="00801566">
      <w:pPr>
        <w:pStyle w:val="Listenabsatz"/>
        <w:numPr>
          <w:ilvl w:val="0"/>
          <w:numId w:val="1"/>
        </w:numPr>
      </w:pPr>
      <w:r>
        <w:t>Es</w:t>
      </w:r>
      <w:r w:rsidRPr="00EC1FCE">
        <w:t xml:space="preserve"> ist noch nicht klar, welche Abfallverbrennungsanlagen einbezogen werden und welche kostenlose Zuteilung</w:t>
      </w:r>
      <w:r w:rsidR="00794A55">
        <w:t xml:space="preserve"> von Zertifikaten</w:t>
      </w:r>
      <w:r w:rsidRPr="00EC1FCE">
        <w:t xml:space="preserve"> für Wärme erfolgen kann.</w:t>
      </w:r>
    </w:p>
    <w:p w14:paraId="186FD1CF" w14:textId="77777777" w:rsidR="00801566" w:rsidRPr="00EC1FCE" w:rsidRDefault="00801566" w:rsidP="00865E99">
      <w:pPr>
        <w:pStyle w:val="Listenabsatz"/>
      </w:pPr>
    </w:p>
    <w:p w14:paraId="1071BD20" w14:textId="35C729AB" w:rsidR="00EC1FCE" w:rsidRPr="00EC1FCE" w:rsidRDefault="00EC1FCE" w:rsidP="00EC1FCE">
      <w:pPr>
        <w:pStyle w:val="Listenabsatz"/>
        <w:numPr>
          <w:ilvl w:val="0"/>
          <w:numId w:val="1"/>
        </w:numPr>
      </w:pPr>
      <w:r>
        <w:t xml:space="preserve">Je nach Ausgestaltung und politischer Entscheidung sind </w:t>
      </w:r>
      <w:r w:rsidRPr="00EC1FCE">
        <w:t xml:space="preserve">sogar mehrere </w:t>
      </w:r>
      <w:r>
        <w:t>Preis-</w:t>
      </w:r>
      <w:r w:rsidRPr="00EC1FCE">
        <w:t xml:space="preserve">Systemwechsel </w:t>
      </w:r>
      <w:r>
        <w:t>denkbar</w:t>
      </w:r>
      <w:r w:rsidRPr="00EC1FCE">
        <w:t xml:space="preserve">, mit absolut kritischen Umsetzungsfristen. Daher zeichnet sich ab, dass </w:t>
      </w:r>
      <w:r>
        <w:t>wir voraussichtlich</w:t>
      </w:r>
      <w:r w:rsidRPr="00EC1FCE">
        <w:t xml:space="preserve"> Parallelprozesse installieren müssen. </w:t>
      </w:r>
    </w:p>
    <w:p w14:paraId="114F1F02" w14:textId="46CB5DF8" w:rsidR="00EC1FCE" w:rsidRPr="00865E99" w:rsidRDefault="00EC1FCE" w:rsidP="00EC1FCE">
      <w:r w:rsidRPr="00865E99">
        <w:lastRenderedPageBreak/>
        <w:t>Planungs- und Investitionssicherheit, Gebührenstabilität und Bürokratieabbau werden definitiv</w:t>
      </w:r>
      <w:r w:rsidR="00B266C6" w:rsidRPr="00865E99">
        <w:t xml:space="preserve"> durch diese Novelle</w:t>
      </w:r>
      <w:r w:rsidRPr="00865E99">
        <w:t xml:space="preserve"> nicht erreicht!</w:t>
      </w:r>
    </w:p>
    <w:p w14:paraId="73F859FD" w14:textId="77777777" w:rsidR="008A3911" w:rsidRPr="00865E99" w:rsidRDefault="008A3911"/>
    <w:p w14:paraId="56C33287" w14:textId="0709EF91" w:rsidR="008A3911" w:rsidRPr="00865E99" w:rsidRDefault="008A3911">
      <w:pPr>
        <w:rPr>
          <w:b/>
          <w:bCs/>
        </w:rPr>
      </w:pPr>
      <w:r w:rsidRPr="00865E99">
        <w:rPr>
          <w:b/>
          <w:bCs/>
        </w:rPr>
        <w:t>Was ist zu tun?</w:t>
      </w:r>
    </w:p>
    <w:p w14:paraId="2DC9A1B0" w14:textId="77777777" w:rsidR="00E65ED4" w:rsidRPr="00865E99" w:rsidRDefault="00E65ED4" w:rsidP="00E65ED4">
      <w:r w:rsidRPr="00865E99">
        <w:t>Generell ist der Emissionshandel kein geeignetes Instrument für die Abfallverbrennung.</w:t>
      </w:r>
    </w:p>
    <w:p w14:paraId="634E4C5D" w14:textId="049304F7" w:rsidR="008A3911" w:rsidRPr="00865E99" w:rsidRDefault="008A3911">
      <w:r w:rsidRPr="00865E99">
        <w:t xml:space="preserve">Wir fordern daher die ersatzlose Streichung des Opt-in, um </w:t>
      </w:r>
      <w:r w:rsidR="00E65ED4" w:rsidRPr="00865E99">
        <w:t xml:space="preserve">zumindest </w:t>
      </w:r>
      <w:r w:rsidRPr="00865E99">
        <w:t>die Ergebnisse der EU Impact</w:t>
      </w:r>
      <w:r w:rsidR="00B266C6" w:rsidRPr="00865E99">
        <w:t>-</w:t>
      </w:r>
      <w:r w:rsidRPr="00865E99">
        <w:t>Analyse abzuwarten, damit die europäischen Wettbewerbsverzerrungen</w:t>
      </w:r>
      <w:r w:rsidR="00E65ED4" w:rsidRPr="00865E99">
        <w:t>, die bereits durch den nationalen Alleingang im BEHG hervorgerufen wurden,</w:t>
      </w:r>
      <w:r w:rsidRPr="00865E99">
        <w:t xml:space="preserve"> nicht noch </w:t>
      </w:r>
      <w:r w:rsidR="00EC1FCE" w:rsidRPr="00865E99">
        <w:t xml:space="preserve">weiter </w:t>
      </w:r>
      <w:r w:rsidR="00E65ED4" w:rsidRPr="00865E99">
        <w:t xml:space="preserve">durch den EU-ETS I </w:t>
      </w:r>
      <w:r w:rsidRPr="00865E99">
        <w:t>potenziert werden.</w:t>
      </w:r>
      <w:r w:rsidR="00E65ED4" w:rsidRPr="00865E99">
        <w:t xml:space="preserve"> Mit unserem Verband ITAD arbeiten wir an verantwortungsvollen Lösungen</w:t>
      </w:r>
      <w:r w:rsidR="00562E8A" w:rsidRPr="00865E99">
        <w:t xml:space="preserve"> zur </w:t>
      </w:r>
      <w:r w:rsidR="00BA71CD" w:rsidRPr="00865E99">
        <w:t xml:space="preserve">weiteren </w:t>
      </w:r>
      <w:r w:rsidR="00562E8A" w:rsidRPr="00865E99">
        <w:t xml:space="preserve">Reduzierung </w:t>
      </w:r>
      <w:r w:rsidR="00BA71CD" w:rsidRPr="00865E99">
        <w:t>der Klimabelastung</w:t>
      </w:r>
      <w:r w:rsidR="00E65ED4" w:rsidRPr="00865E99">
        <w:t>.</w:t>
      </w:r>
    </w:p>
    <w:p w14:paraId="0A2650EE" w14:textId="2E2526E1" w:rsidR="00E65ED4" w:rsidRPr="00865E99" w:rsidRDefault="00E65ED4">
      <w:r w:rsidRPr="00865E99">
        <w:t>Wir bitten Sie daher</w:t>
      </w:r>
      <w:r w:rsidR="005C6421" w:rsidRPr="00865E99">
        <w:t xml:space="preserve"> dringend</w:t>
      </w:r>
      <w:r w:rsidRPr="00865E99">
        <w:t>, sich im Interesse der Bürger</w:t>
      </w:r>
      <w:r w:rsidR="005C6421" w:rsidRPr="00865E99">
        <w:t xml:space="preserve">, </w:t>
      </w:r>
      <w:r w:rsidRPr="00865E99">
        <w:t xml:space="preserve">Unternehmen sowie </w:t>
      </w:r>
      <w:r w:rsidR="005C6421" w:rsidRPr="00865E99">
        <w:t xml:space="preserve">der XY </w:t>
      </w:r>
      <w:r w:rsidR="005C6421" w:rsidRPr="00865E99">
        <w:rPr>
          <w:i/>
          <w:iCs/>
        </w:rPr>
        <w:t>[Name der TAB einsetzen]</w:t>
      </w:r>
      <w:r w:rsidR="005C6421" w:rsidRPr="00865E99">
        <w:t xml:space="preserve"> dafür einzusetzen, ein vorzeitiges Opt-in für die</w:t>
      </w:r>
      <w:r w:rsidR="0055350A" w:rsidRPr="00865E99">
        <w:t xml:space="preserve"> deutsche</w:t>
      </w:r>
      <w:r w:rsidR="005C6421" w:rsidRPr="00865E99">
        <w:t xml:space="preserve"> Abfallverbrennung abzuwehren.</w:t>
      </w:r>
    </w:p>
    <w:p w14:paraId="2887434F" w14:textId="17323900" w:rsidR="005C6421" w:rsidRPr="00865E99" w:rsidRDefault="005C6421">
      <w:r w:rsidRPr="00865E99">
        <w:t xml:space="preserve">Gerne erläutern wir </w:t>
      </w:r>
      <w:r w:rsidR="00C10C6B" w:rsidRPr="00865E99">
        <w:t>I</w:t>
      </w:r>
      <w:r w:rsidRPr="00865E99">
        <w:t>hnen die Argumentation ausführl</w:t>
      </w:r>
      <w:r w:rsidR="00041ED7" w:rsidRPr="00865E99">
        <w:t>i</w:t>
      </w:r>
      <w:r w:rsidRPr="00865E99">
        <w:t>cher.</w:t>
      </w:r>
    </w:p>
    <w:p w14:paraId="6D52AFF1" w14:textId="07B5B575" w:rsidR="005C6421" w:rsidRPr="00865E99" w:rsidRDefault="00865E99">
      <w:r>
        <w:t>Mit freundlichen Grüßen</w:t>
      </w:r>
    </w:p>
    <w:p w14:paraId="53D82608" w14:textId="77777777" w:rsidR="00E65ED4" w:rsidRDefault="00E65ED4"/>
    <w:p w14:paraId="43A17617" w14:textId="77777777" w:rsidR="003D2C1D" w:rsidRDefault="003D2C1D"/>
    <w:p w14:paraId="315CC6A9" w14:textId="77777777" w:rsidR="003D2C1D" w:rsidRDefault="003D2C1D"/>
    <w:p w14:paraId="1888ADEF" w14:textId="77777777" w:rsidR="003D2C1D" w:rsidRDefault="003D2C1D"/>
    <w:p w14:paraId="6FB7A95B" w14:textId="77777777" w:rsidR="003D2C1D" w:rsidRDefault="003D2C1D"/>
    <w:p w14:paraId="6270F87E" w14:textId="77777777" w:rsidR="003D2C1D" w:rsidRDefault="003D2C1D"/>
    <w:p w14:paraId="68097F3E" w14:textId="77777777" w:rsidR="003D2C1D" w:rsidRDefault="003D2C1D"/>
    <w:p w14:paraId="349AA890" w14:textId="77777777" w:rsidR="003D2C1D" w:rsidRDefault="003D2C1D"/>
    <w:p w14:paraId="6405C2DE" w14:textId="77777777" w:rsidR="003D2C1D" w:rsidRDefault="003D2C1D"/>
    <w:sectPr w:rsidR="003D2C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A3E06"/>
    <w:multiLevelType w:val="hybridMultilevel"/>
    <w:tmpl w:val="7FA201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85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E4"/>
    <w:rsid w:val="00041ED7"/>
    <w:rsid w:val="000719EB"/>
    <w:rsid w:val="000A4CC1"/>
    <w:rsid w:val="000F4812"/>
    <w:rsid w:val="00101CD6"/>
    <w:rsid w:val="001D1DD1"/>
    <w:rsid w:val="001D569E"/>
    <w:rsid w:val="001E491A"/>
    <w:rsid w:val="001F00E4"/>
    <w:rsid w:val="0026410E"/>
    <w:rsid w:val="00267D5B"/>
    <w:rsid w:val="002D745B"/>
    <w:rsid w:val="002E35C3"/>
    <w:rsid w:val="0035280C"/>
    <w:rsid w:val="00384FE7"/>
    <w:rsid w:val="00391B44"/>
    <w:rsid w:val="003C6CD4"/>
    <w:rsid w:val="003D2C1D"/>
    <w:rsid w:val="00493FD7"/>
    <w:rsid w:val="004A2034"/>
    <w:rsid w:val="004E603B"/>
    <w:rsid w:val="00512DF9"/>
    <w:rsid w:val="0055350A"/>
    <w:rsid w:val="00562E8A"/>
    <w:rsid w:val="00590ED5"/>
    <w:rsid w:val="005B7B6B"/>
    <w:rsid w:val="005C6421"/>
    <w:rsid w:val="005D55FD"/>
    <w:rsid w:val="005F51BF"/>
    <w:rsid w:val="00600080"/>
    <w:rsid w:val="00621B20"/>
    <w:rsid w:val="006407CA"/>
    <w:rsid w:val="0073064A"/>
    <w:rsid w:val="00733180"/>
    <w:rsid w:val="00794A55"/>
    <w:rsid w:val="00801566"/>
    <w:rsid w:val="00865E99"/>
    <w:rsid w:val="008A3911"/>
    <w:rsid w:val="008C6942"/>
    <w:rsid w:val="008F3F43"/>
    <w:rsid w:val="008F7A49"/>
    <w:rsid w:val="009111DC"/>
    <w:rsid w:val="00927B2F"/>
    <w:rsid w:val="009A0BD4"/>
    <w:rsid w:val="009D6C87"/>
    <w:rsid w:val="009F300A"/>
    <w:rsid w:val="00A55783"/>
    <w:rsid w:val="00A93289"/>
    <w:rsid w:val="00AC4BF4"/>
    <w:rsid w:val="00AF5B51"/>
    <w:rsid w:val="00B266C6"/>
    <w:rsid w:val="00B354F7"/>
    <w:rsid w:val="00B84AA0"/>
    <w:rsid w:val="00BA71CD"/>
    <w:rsid w:val="00BF7A9F"/>
    <w:rsid w:val="00C02DA4"/>
    <w:rsid w:val="00C10C6B"/>
    <w:rsid w:val="00C30CC6"/>
    <w:rsid w:val="00D40586"/>
    <w:rsid w:val="00D9166D"/>
    <w:rsid w:val="00E2587F"/>
    <w:rsid w:val="00E3151F"/>
    <w:rsid w:val="00E65ED4"/>
    <w:rsid w:val="00E9714F"/>
    <w:rsid w:val="00EC1FCE"/>
    <w:rsid w:val="00EC7116"/>
    <w:rsid w:val="00EF1933"/>
    <w:rsid w:val="00F24459"/>
    <w:rsid w:val="00F77F4E"/>
    <w:rsid w:val="00FC4488"/>
    <w:rsid w:val="00FE753E"/>
    <w:rsid w:val="00FF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D1E"/>
  <w15:chartTrackingRefBased/>
  <w15:docId w15:val="{67859F01-4AC6-4AB4-9D6E-0AF0236A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F00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F0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F00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F00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F00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F00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F00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F00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F00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F00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F00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F00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F00E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F00E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F00E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F00E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F00E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F00E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F00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F0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F00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F0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F0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F00E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F00E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F00E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F00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F00E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F00E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26410E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6410E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F7A49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F7A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F7A4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F7A4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F7A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F7A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tad.de/wissen/studien/202405-studie-prof-friege.pdf/view" TargetMode="External"/><Relationship Id="rId5" Type="http://schemas.openxmlformats.org/officeDocument/2006/relationships/hyperlink" Target="https://www.bundesrat.de/SharedDocs/beratungsvorgaenge/2024/0401-0500/0497-2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Treder</dc:creator>
  <cp:keywords/>
  <dc:description/>
  <cp:lastModifiedBy>Ricardo Reitz</cp:lastModifiedBy>
  <cp:revision>2</cp:revision>
  <dcterms:created xsi:type="dcterms:W3CDTF">2024-10-23T10:10:00Z</dcterms:created>
  <dcterms:modified xsi:type="dcterms:W3CDTF">2024-10-23T10:10:00Z</dcterms:modified>
</cp:coreProperties>
</file>