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0940" w14:textId="2AA98DD9" w:rsidR="00D232D0" w:rsidRDefault="00D232D0" w:rsidP="00D232D0">
      <w:pPr>
        <w:rPr>
          <w:b/>
          <w:bCs/>
        </w:rPr>
      </w:pPr>
      <w:r w:rsidRPr="00D232D0">
        <w:rPr>
          <w:b/>
          <w:bCs/>
        </w:rPr>
        <w:t>Musterschreiben</w:t>
      </w:r>
      <w:r w:rsidR="00CB7178">
        <w:rPr>
          <w:b/>
          <w:bCs/>
        </w:rPr>
        <w:t xml:space="preserve"> Gewerbeabfallverordnung</w:t>
      </w:r>
    </w:p>
    <w:p w14:paraId="7D2CCC0D" w14:textId="77777777" w:rsidR="00113B30" w:rsidRPr="004B56E9" w:rsidRDefault="00113B30" w:rsidP="00113B30">
      <w:pPr>
        <w:rPr>
          <w:rFonts w:ascii="Verdana" w:hAnsi="Verdana"/>
        </w:rPr>
      </w:pPr>
      <w:r>
        <w:rPr>
          <w:rFonts w:ascii="Verdana" w:hAnsi="Verdana"/>
        </w:rPr>
        <w:t>Zur Beschlussverhinderung der novellierten Gewerbeabfallverordnung im Bundestag</w:t>
      </w:r>
    </w:p>
    <w:p w14:paraId="3A9D124C" w14:textId="77777777" w:rsidR="00113B30" w:rsidRDefault="00113B30" w:rsidP="00113B30">
      <w:pPr>
        <w:rPr>
          <w:rFonts w:ascii="Verdana" w:hAnsi="Verdana"/>
        </w:rPr>
      </w:pPr>
      <w:r>
        <w:rPr>
          <w:rFonts w:ascii="Verdana" w:hAnsi="Verdana"/>
        </w:rPr>
        <w:t>Versand an Bundestagsabgeordnete</w:t>
      </w:r>
    </w:p>
    <w:p w14:paraId="5B3A5F80" w14:textId="77777777" w:rsidR="00113B30" w:rsidRDefault="00113B30" w:rsidP="00113B30">
      <w:pPr>
        <w:rPr>
          <w:rFonts w:ascii="Verdana" w:hAnsi="Verdana"/>
        </w:rPr>
      </w:pPr>
    </w:p>
    <w:p w14:paraId="4260E6F4" w14:textId="77777777" w:rsidR="00113B30" w:rsidRPr="004B56E9" w:rsidRDefault="00113B30" w:rsidP="00113B30">
      <w:pPr>
        <w:rPr>
          <w:rFonts w:ascii="Verdana" w:hAnsi="Verdana"/>
        </w:rPr>
      </w:pPr>
      <w:r w:rsidRPr="004B56E9">
        <w:rPr>
          <w:rFonts w:ascii="Verdana" w:hAnsi="Verdana"/>
        </w:rPr>
        <w:t>[Anrede]</w:t>
      </w:r>
    </w:p>
    <w:p w14:paraId="1A88F7CF" w14:textId="77777777" w:rsidR="00113B30" w:rsidRPr="004B56E9" w:rsidRDefault="00113B30" w:rsidP="00113B30">
      <w:pPr>
        <w:rPr>
          <w:rFonts w:ascii="Verdana" w:hAnsi="Verdana"/>
        </w:rPr>
      </w:pPr>
      <w:r w:rsidRPr="004B56E9">
        <w:rPr>
          <w:rFonts w:ascii="Verdana" w:hAnsi="Verdana"/>
        </w:rPr>
        <w:t>am 27.11.2024 wurde dem Bundestag durch die Bundesregierung die „Verordnung zur Stärkung der Bewirtschaftung von gewerblichen Siedlungsabfällen und bestimmten Bau- und Abbruchabfällen“ zur Zustimmung übermittelt.</w:t>
      </w:r>
    </w:p>
    <w:p w14:paraId="13977986" w14:textId="77777777" w:rsidR="00113B30" w:rsidRPr="004B56E9" w:rsidRDefault="00113B30" w:rsidP="00113B30">
      <w:pPr>
        <w:rPr>
          <w:rFonts w:ascii="Verdana" w:hAnsi="Verdana"/>
        </w:rPr>
      </w:pPr>
      <w:r w:rsidRPr="004B56E9">
        <w:rPr>
          <w:rFonts w:ascii="Verdana" w:hAnsi="Verdana"/>
        </w:rPr>
        <w:t xml:space="preserve">Trotz zahlreicher Einwände der Betroffenen im Vorfeld sind diese ungehört verhallt. Sei es beispielsweise zum unnötigen </w:t>
      </w:r>
      <w:r w:rsidRPr="004B56E9">
        <w:rPr>
          <w:rFonts w:ascii="Verdana" w:hAnsi="Verdana"/>
          <w:b/>
          <w:bCs/>
        </w:rPr>
        <w:t>Aufbau</w:t>
      </w:r>
      <w:r w:rsidRPr="004B56E9">
        <w:rPr>
          <w:rFonts w:ascii="Verdana" w:hAnsi="Verdana"/>
        </w:rPr>
        <w:t xml:space="preserve"> weiterer </w:t>
      </w:r>
      <w:r w:rsidRPr="004B56E9">
        <w:rPr>
          <w:rFonts w:ascii="Verdana" w:hAnsi="Verdana"/>
          <w:b/>
          <w:bCs/>
        </w:rPr>
        <w:t>Bürokratie</w:t>
      </w:r>
      <w:r w:rsidRPr="004B56E9">
        <w:rPr>
          <w:rStyle w:val="Funotenzeichen"/>
          <w:rFonts w:ascii="Verdana" w:hAnsi="Verdana"/>
        </w:rPr>
        <w:footnoteReference w:id="1"/>
      </w:r>
      <w:r w:rsidRPr="004B56E9">
        <w:rPr>
          <w:rFonts w:ascii="Verdana" w:hAnsi="Verdana"/>
        </w:rPr>
        <w:t xml:space="preserve">, </w:t>
      </w:r>
      <w:r w:rsidRPr="004B56E9">
        <w:rPr>
          <w:rFonts w:ascii="Verdana" w:hAnsi="Verdana"/>
          <w:b/>
          <w:bCs/>
        </w:rPr>
        <w:t>zusätzlicher Register</w:t>
      </w:r>
      <w:r w:rsidRPr="004B56E9">
        <w:rPr>
          <w:rStyle w:val="Funotenzeichen"/>
          <w:rFonts w:ascii="Verdana" w:hAnsi="Verdana"/>
        </w:rPr>
        <w:footnoteReference w:id="2"/>
      </w:r>
      <w:r w:rsidRPr="004B56E9">
        <w:rPr>
          <w:rFonts w:ascii="Verdana" w:hAnsi="Verdana"/>
        </w:rPr>
        <w:t xml:space="preserve">, der Gefahr von Wettbewerbseinschränkungen durch die implizite </w:t>
      </w:r>
      <w:r w:rsidRPr="004B56E9">
        <w:rPr>
          <w:rFonts w:ascii="Verdana" w:hAnsi="Verdana"/>
          <w:b/>
          <w:bCs/>
        </w:rPr>
        <w:t>Schaffung von Oligopolen</w:t>
      </w:r>
      <w:r w:rsidRPr="004B56E9">
        <w:rPr>
          <w:rStyle w:val="Funotenzeichen"/>
          <w:rFonts w:ascii="Verdana" w:hAnsi="Verdana"/>
        </w:rPr>
        <w:footnoteReference w:id="3"/>
      </w:r>
      <w:r w:rsidRPr="004B56E9">
        <w:rPr>
          <w:rFonts w:ascii="Verdana" w:hAnsi="Verdana"/>
        </w:rPr>
        <w:t xml:space="preserve"> oder das </w:t>
      </w:r>
      <w:r w:rsidRPr="004B56E9">
        <w:rPr>
          <w:rFonts w:ascii="Verdana" w:hAnsi="Verdana"/>
          <w:b/>
          <w:bCs/>
        </w:rPr>
        <w:t>Fehlen einer Evaluation</w:t>
      </w:r>
      <w:r w:rsidRPr="004B56E9">
        <w:rPr>
          <w:rFonts w:ascii="Verdana" w:hAnsi="Verdana"/>
        </w:rPr>
        <w:t xml:space="preserve"> auf Basis einer repräsentativen Datengrundlage</w:t>
      </w:r>
      <w:r w:rsidRPr="004B56E9">
        <w:rPr>
          <w:rStyle w:val="Funotenzeichen"/>
          <w:rFonts w:ascii="Verdana" w:hAnsi="Verdana"/>
        </w:rPr>
        <w:footnoteReference w:id="4"/>
      </w:r>
      <w:r w:rsidRPr="004B56E9">
        <w:rPr>
          <w:rFonts w:ascii="Verdana" w:hAnsi="Verdana"/>
        </w:rPr>
        <w:t xml:space="preserve">. </w:t>
      </w:r>
    </w:p>
    <w:p w14:paraId="351DBB6F" w14:textId="77777777" w:rsidR="00113B30" w:rsidRPr="004B56E9" w:rsidRDefault="00113B30" w:rsidP="00113B30">
      <w:pPr>
        <w:rPr>
          <w:rFonts w:ascii="Verdana" w:hAnsi="Verdana"/>
        </w:rPr>
      </w:pPr>
      <w:r w:rsidRPr="004B56E9">
        <w:rPr>
          <w:rFonts w:ascii="Verdana" w:hAnsi="Verdana"/>
        </w:rPr>
        <w:t>In der Stellungnahme des Normenkontrollrats ist bezeichnenderweise keine Aussage zur Belastung der Betreiber von thermischen Abfallbehandlungsanlagen zu entnehmen. Das ist bemerkenswert, da sie bislang völlig richtig nicht in Überwachungsfunktionen im Rahmen der Gewerbeabfallverordnung aufgenommen waren. Mit diesem Verordnungsentwurf wird auf allen Ebenen (Abfallerzeuger, Überwachungsbehörde und Entsorgungsanlage) ein enormer, unsachgemäßer Bürokratismus aufgebaut, ohne dass die Bundesregierung den entsprechenden Nutzen</w:t>
      </w:r>
      <w:r w:rsidRPr="004B56E9">
        <w:rPr>
          <w:rStyle w:val="Funotenzeichen"/>
          <w:rFonts w:ascii="Verdana" w:hAnsi="Verdana"/>
        </w:rPr>
        <w:footnoteReference w:id="5"/>
      </w:r>
      <w:r w:rsidRPr="004B56E9">
        <w:rPr>
          <w:rFonts w:ascii="Verdana" w:hAnsi="Verdana"/>
        </w:rPr>
        <w:t xml:space="preserve"> dargestellt hat. Der Nutzen kann auch nicht dargestellt werden, da dieser nach unseren Erhebungen nur minimal sein kann („Verstoß gegen Denkgesetze“)</w:t>
      </w:r>
      <w:r w:rsidRPr="004B56E9">
        <w:rPr>
          <w:rStyle w:val="Funotenzeichen"/>
          <w:rFonts w:ascii="Verdana" w:hAnsi="Verdana"/>
        </w:rPr>
        <w:footnoteReference w:id="6"/>
      </w:r>
      <w:r w:rsidRPr="004B56E9">
        <w:rPr>
          <w:rFonts w:ascii="Verdana" w:hAnsi="Verdana"/>
        </w:rPr>
        <w:t xml:space="preserve">. </w:t>
      </w:r>
    </w:p>
    <w:p w14:paraId="50AC5C2D" w14:textId="77777777" w:rsidR="00113B30" w:rsidRPr="004B56E9" w:rsidRDefault="00113B30" w:rsidP="00113B30">
      <w:pPr>
        <w:rPr>
          <w:rFonts w:ascii="Verdana" w:hAnsi="Verdana"/>
        </w:rPr>
      </w:pPr>
      <w:r w:rsidRPr="004B56E9">
        <w:rPr>
          <w:rFonts w:ascii="Verdana" w:hAnsi="Verdana"/>
        </w:rPr>
        <w:t xml:space="preserve">Es ist den Überwachungsbehörden </w:t>
      </w:r>
      <w:r w:rsidRPr="004B56E9">
        <w:rPr>
          <w:rFonts w:ascii="Verdana" w:hAnsi="Verdana"/>
          <w:b/>
          <w:bCs/>
        </w:rPr>
        <w:t>bereits heute möglich</w:t>
      </w:r>
      <w:r w:rsidRPr="004B56E9">
        <w:rPr>
          <w:rFonts w:ascii="Verdana" w:hAnsi="Verdana"/>
        </w:rPr>
        <w:t xml:space="preserve">, die in jeder einzelnen Anlage geführten Abfallregister anzufordern und auszuwerten. Wie in den vorangegangenen Stellungnahmen weisen wir auf die erfolgreiche </w:t>
      </w:r>
      <w:r w:rsidRPr="004B56E9">
        <w:rPr>
          <w:rFonts w:ascii="Verdana" w:hAnsi="Verdana"/>
        </w:rPr>
        <w:lastRenderedPageBreak/>
        <w:t xml:space="preserve">Schwerpunktaktion zum Vollzug der Gewerbeabfallverordnung des Landes Baden-Württemberg hin, die </w:t>
      </w:r>
      <w:r w:rsidRPr="004B56E9">
        <w:rPr>
          <w:rFonts w:ascii="Verdana" w:hAnsi="Verdana"/>
          <w:b/>
          <w:bCs/>
        </w:rPr>
        <w:t>auf der bestehenden Rechtsgrundlage</w:t>
      </w:r>
      <w:r w:rsidRPr="004B56E9">
        <w:rPr>
          <w:rFonts w:ascii="Verdana" w:hAnsi="Verdana"/>
        </w:rPr>
        <w:t xml:space="preserve"> durchgeführt wurde. Dieses Vorgehen ist zielgerichtet, effizient, umfassend sowie rechtssicher und damit geeignet, </w:t>
      </w:r>
      <w:proofErr w:type="gramStart"/>
      <w:r w:rsidRPr="004B56E9">
        <w:rPr>
          <w:rFonts w:ascii="Verdana" w:hAnsi="Verdana"/>
          <w:b/>
          <w:bCs/>
        </w:rPr>
        <w:t>das</w:t>
      </w:r>
      <w:proofErr w:type="gramEnd"/>
      <w:r w:rsidRPr="004B56E9">
        <w:rPr>
          <w:rFonts w:ascii="Verdana" w:hAnsi="Verdana"/>
        </w:rPr>
        <w:t xml:space="preserve"> im Verordnungsentwurf formulierte </w:t>
      </w:r>
      <w:r w:rsidRPr="004B56E9">
        <w:rPr>
          <w:rFonts w:ascii="Verdana" w:hAnsi="Verdana"/>
          <w:b/>
          <w:bCs/>
        </w:rPr>
        <w:t>Ziel ohne zusätzlichen Aufwand zu erreichen</w:t>
      </w:r>
      <w:r w:rsidRPr="004B56E9">
        <w:rPr>
          <w:rFonts w:ascii="Verdana" w:hAnsi="Verdana"/>
        </w:rPr>
        <w:t>.</w:t>
      </w:r>
    </w:p>
    <w:p w14:paraId="7F5915CB" w14:textId="77777777" w:rsidR="00113B30" w:rsidRPr="004B56E9" w:rsidRDefault="00113B30" w:rsidP="00113B30">
      <w:pPr>
        <w:rPr>
          <w:rFonts w:ascii="Verdana" w:hAnsi="Verdana"/>
        </w:rPr>
      </w:pPr>
      <w:r w:rsidRPr="004B56E9">
        <w:rPr>
          <w:rFonts w:ascii="Verdana" w:hAnsi="Verdana"/>
        </w:rPr>
        <w:t>Der neu vorgeschlagene § 14 (Stichprobenkontrolle bei Anlagen zur energetischen Verwertung) ist das exakte Gegenteil. Die Betreiber von Thermischen Abfallbehandlungsanlagen sind sich ihrer Verantwortung für mehr Ressourcen- und mehr Klimaschutz bewusst. Beide Ziele werden durch den Verordnungsentwurf torpediert. Der Branchenverband ITAD wird einen pragmatischen Lösungsansatz erstellen, der in der nächsten Legislaturperiode sachgerecht diskutiert werden sollte.</w:t>
      </w:r>
    </w:p>
    <w:p w14:paraId="17A5F8B8" w14:textId="77777777" w:rsidR="00113B30" w:rsidRPr="004B56E9" w:rsidRDefault="00113B30" w:rsidP="00113B30">
      <w:pPr>
        <w:rPr>
          <w:rFonts w:ascii="Verdana" w:hAnsi="Verdana"/>
        </w:rPr>
      </w:pPr>
      <w:r w:rsidRPr="004B56E9">
        <w:rPr>
          <w:rFonts w:ascii="Verdana" w:hAnsi="Verdana"/>
        </w:rPr>
        <w:t xml:space="preserve">Lassen Sie bitte daher das fraktionsübergreifende Bekenntnis der letzten Monate und Wochen zu Entbürokratisierung und effizienter Regulierung nicht zum Lippenbekenntnis werden und </w:t>
      </w:r>
      <w:r w:rsidRPr="004B56E9">
        <w:rPr>
          <w:rFonts w:ascii="Verdana" w:hAnsi="Verdana"/>
          <w:b/>
          <w:bCs/>
        </w:rPr>
        <w:t>stimmen Sie dem Entwurf der Bundesregierung nicht zu</w:t>
      </w:r>
      <w:r w:rsidRPr="004B56E9">
        <w:rPr>
          <w:rFonts w:ascii="Verdana" w:hAnsi="Verdana"/>
        </w:rPr>
        <w:t>!</w:t>
      </w:r>
    </w:p>
    <w:p w14:paraId="55437AF1" w14:textId="77777777" w:rsidR="00113B30" w:rsidRDefault="00113B30" w:rsidP="00113B30">
      <w:pPr>
        <w:rPr>
          <w:rFonts w:ascii="Verdana" w:hAnsi="Verdana"/>
        </w:rPr>
      </w:pPr>
      <w:r w:rsidRPr="004B56E9">
        <w:rPr>
          <w:rFonts w:ascii="Verdana" w:hAnsi="Verdana"/>
        </w:rPr>
        <w:t>Für Rückfragen stehen wir Ihnen jederzeit gerne zur Verfügung.</w:t>
      </w:r>
    </w:p>
    <w:p w14:paraId="18D05010" w14:textId="77777777" w:rsidR="00113B30" w:rsidRDefault="00113B30" w:rsidP="00113B30">
      <w:pPr>
        <w:rPr>
          <w:rFonts w:ascii="Verdana" w:hAnsi="Verdana"/>
        </w:rPr>
      </w:pPr>
      <w:r>
        <w:rPr>
          <w:rFonts w:ascii="Verdana" w:hAnsi="Verdana"/>
        </w:rPr>
        <w:t>Mit freundlichen Grüßen</w:t>
      </w:r>
    </w:p>
    <w:p w14:paraId="52F2629C" w14:textId="77777777" w:rsidR="00113B30" w:rsidRDefault="00113B30" w:rsidP="00113B30">
      <w:pPr>
        <w:rPr>
          <w:rFonts w:ascii="Verdana" w:hAnsi="Verdana"/>
        </w:rPr>
      </w:pPr>
    </w:p>
    <w:p w14:paraId="0A9C277E" w14:textId="77777777" w:rsidR="00113B30" w:rsidRPr="004B56E9" w:rsidRDefault="00113B30" w:rsidP="00113B30">
      <w:pPr>
        <w:rPr>
          <w:rFonts w:ascii="Verdana" w:hAnsi="Verdana"/>
        </w:rPr>
      </w:pPr>
    </w:p>
    <w:p w14:paraId="33DE5880" w14:textId="77777777" w:rsidR="00787C2B" w:rsidRDefault="00787C2B" w:rsidP="00113B30"/>
    <w:sectPr w:rsidR="00787C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09F46" w14:textId="77777777" w:rsidR="00A57939" w:rsidRDefault="00A57939" w:rsidP="00D232D0">
      <w:pPr>
        <w:spacing w:after="0" w:line="240" w:lineRule="auto"/>
      </w:pPr>
      <w:r>
        <w:separator/>
      </w:r>
    </w:p>
  </w:endnote>
  <w:endnote w:type="continuationSeparator" w:id="0">
    <w:p w14:paraId="6A122DE0" w14:textId="77777777" w:rsidR="00A57939" w:rsidRDefault="00A57939" w:rsidP="00D2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A92F" w14:textId="77777777" w:rsidR="00A57939" w:rsidRDefault="00A57939" w:rsidP="00D232D0">
      <w:pPr>
        <w:spacing w:after="0" w:line="240" w:lineRule="auto"/>
      </w:pPr>
      <w:r>
        <w:separator/>
      </w:r>
    </w:p>
  </w:footnote>
  <w:footnote w:type="continuationSeparator" w:id="0">
    <w:p w14:paraId="1F787D86" w14:textId="77777777" w:rsidR="00A57939" w:rsidRDefault="00A57939" w:rsidP="00D232D0">
      <w:pPr>
        <w:spacing w:after="0" w:line="240" w:lineRule="auto"/>
      </w:pPr>
      <w:r>
        <w:continuationSeparator/>
      </w:r>
    </w:p>
  </w:footnote>
  <w:footnote w:id="1">
    <w:p w14:paraId="23A3D0A9" w14:textId="77777777" w:rsidR="00113B30" w:rsidRPr="00536670" w:rsidRDefault="00113B30" w:rsidP="00113B30">
      <w:pPr>
        <w:pStyle w:val="Funotentext"/>
        <w:rPr>
          <w:b/>
          <w:bCs/>
          <w:sz w:val="16"/>
          <w:szCs w:val="16"/>
        </w:rPr>
      </w:pPr>
      <w:r>
        <w:rPr>
          <w:rStyle w:val="Funotenzeichen"/>
        </w:rPr>
        <w:footnoteRef/>
      </w:r>
      <w:r>
        <w:t xml:space="preserve"> </w:t>
      </w:r>
      <w:r w:rsidRPr="00536670">
        <w:rPr>
          <w:sz w:val="16"/>
          <w:szCs w:val="16"/>
        </w:rPr>
        <w:t xml:space="preserve">„Von den in der vorliegenden Verordnung enthaltenen 28 Informationspflichten werden 20 unverändert übernommen und 7 geändert. Zudem wird eine Informationspflicht neu begründet.“ </w:t>
      </w:r>
      <w:bookmarkStart w:id="0" w:name="_Hlk183765415"/>
      <w:r w:rsidRPr="00536670">
        <w:rPr>
          <w:sz w:val="16"/>
          <w:szCs w:val="16"/>
        </w:rPr>
        <w:t>[Drucksache 20/13950, S. 3]</w:t>
      </w:r>
    </w:p>
    <w:bookmarkEnd w:id="0"/>
  </w:footnote>
  <w:footnote w:id="2">
    <w:p w14:paraId="5E88AC99" w14:textId="77777777" w:rsidR="00113B30" w:rsidRPr="00536670" w:rsidRDefault="00113B30" w:rsidP="00113B30">
      <w:pPr>
        <w:pStyle w:val="Funotentext"/>
        <w:rPr>
          <w:sz w:val="16"/>
          <w:szCs w:val="16"/>
        </w:rPr>
      </w:pPr>
      <w:r w:rsidRPr="00536670">
        <w:rPr>
          <w:rStyle w:val="Funotenzeichen"/>
          <w:sz w:val="16"/>
          <w:szCs w:val="16"/>
        </w:rPr>
        <w:footnoteRef/>
      </w:r>
      <w:r w:rsidRPr="00536670">
        <w:rPr>
          <w:sz w:val="16"/>
          <w:szCs w:val="16"/>
        </w:rPr>
        <w:t xml:space="preserve"> „Weiterhin sind viele Vorbehandlungsanlagen auch im </w:t>
      </w:r>
      <w:proofErr w:type="spellStart"/>
      <w:r w:rsidRPr="00536670">
        <w:rPr>
          <w:sz w:val="16"/>
          <w:szCs w:val="16"/>
        </w:rPr>
        <w:t>Entsorgungsfachbetrieberegister</w:t>
      </w:r>
      <w:proofErr w:type="spellEnd"/>
      <w:r w:rsidRPr="00536670">
        <w:rPr>
          <w:sz w:val="16"/>
          <w:szCs w:val="16"/>
        </w:rPr>
        <w:t xml:space="preserve"> registriert, sodass notwendige Daten für das neue Register über Vorbehandlungsanlagen bereits vorhanden sind.“ [Drucksache 20/13950, S. 43]</w:t>
      </w:r>
    </w:p>
  </w:footnote>
  <w:footnote w:id="3">
    <w:p w14:paraId="3C52552E" w14:textId="77777777" w:rsidR="00113B30" w:rsidRPr="00536670" w:rsidRDefault="00113B30" w:rsidP="00113B30">
      <w:pPr>
        <w:pStyle w:val="Funotentext"/>
        <w:rPr>
          <w:sz w:val="16"/>
          <w:szCs w:val="16"/>
        </w:rPr>
      </w:pPr>
      <w:r w:rsidRPr="00536670">
        <w:rPr>
          <w:rStyle w:val="Funotenzeichen"/>
          <w:sz w:val="16"/>
          <w:szCs w:val="16"/>
        </w:rPr>
        <w:footnoteRef/>
      </w:r>
      <w:r w:rsidRPr="00536670">
        <w:rPr>
          <w:sz w:val="16"/>
          <w:szCs w:val="16"/>
        </w:rPr>
        <w:t xml:space="preserve"> „Aus wettbewerbspolitischer Sicht für bedenklich hält der Kartellamtspräsident auch die für</w:t>
      </w:r>
    </w:p>
    <w:p w14:paraId="3D9A9942" w14:textId="77777777" w:rsidR="00113B30" w:rsidRPr="00536670" w:rsidRDefault="00113B30" w:rsidP="00113B30">
      <w:pPr>
        <w:pStyle w:val="Funotentext"/>
        <w:rPr>
          <w:sz w:val="16"/>
          <w:szCs w:val="16"/>
        </w:rPr>
      </w:pPr>
      <w:r w:rsidRPr="00536670">
        <w:rPr>
          <w:sz w:val="16"/>
          <w:szCs w:val="16"/>
        </w:rPr>
        <w:t>die Novelle der Gewerbeabfallverordnung geplante Beschränkung der Kaskadenbehandlung auf zwei</w:t>
      </w:r>
    </w:p>
    <w:p w14:paraId="6EF640C1" w14:textId="77777777" w:rsidR="00113B30" w:rsidRPr="00536670" w:rsidRDefault="00113B30" w:rsidP="00113B30">
      <w:pPr>
        <w:pStyle w:val="Funotentext"/>
        <w:rPr>
          <w:sz w:val="16"/>
          <w:szCs w:val="16"/>
        </w:rPr>
      </w:pPr>
      <w:r w:rsidRPr="00536670">
        <w:rPr>
          <w:sz w:val="16"/>
          <w:szCs w:val="16"/>
        </w:rPr>
        <w:t>Anlagen. Trotz der damit angestrebten Reduzierung des Kontroll- und Überwachungsbedarfs sei dies nicht</w:t>
      </w:r>
    </w:p>
    <w:p w14:paraId="781F2CC3" w14:textId="77777777" w:rsidR="00113B30" w:rsidRPr="00536670" w:rsidRDefault="00113B30" w:rsidP="00113B30">
      <w:pPr>
        <w:pStyle w:val="Funotentext"/>
        <w:rPr>
          <w:sz w:val="16"/>
          <w:szCs w:val="16"/>
        </w:rPr>
      </w:pPr>
      <w:r w:rsidRPr="00536670">
        <w:rPr>
          <w:sz w:val="16"/>
          <w:szCs w:val="16"/>
        </w:rPr>
        <w:t>der richtige Weg. Denn durch die Beschränkung der Kaskade auf nur noch maximal zwei Anlagen könnten</w:t>
      </w:r>
    </w:p>
    <w:p w14:paraId="5F053065" w14:textId="77777777" w:rsidR="00113B30" w:rsidRPr="00536670" w:rsidRDefault="00113B30" w:rsidP="00113B30">
      <w:pPr>
        <w:pStyle w:val="Funotentext"/>
        <w:rPr>
          <w:sz w:val="16"/>
          <w:szCs w:val="16"/>
        </w:rPr>
      </w:pPr>
      <w:r w:rsidRPr="00536670">
        <w:rPr>
          <w:sz w:val="16"/>
          <w:szCs w:val="16"/>
        </w:rPr>
        <w:t>einige Unternehmen, die sich auf die Behandlung und Verwertung bestimmter Fraktionen spezialisiert</w:t>
      </w:r>
    </w:p>
    <w:p w14:paraId="651E80C2" w14:textId="77777777" w:rsidR="00113B30" w:rsidRPr="00536670" w:rsidRDefault="00113B30" w:rsidP="00113B30">
      <w:pPr>
        <w:pStyle w:val="Funotentext"/>
        <w:rPr>
          <w:sz w:val="16"/>
          <w:szCs w:val="16"/>
        </w:rPr>
      </w:pPr>
      <w:r w:rsidRPr="00536670">
        <w:rPr>
          <w:sz w:val="16"/>
          <w:szCs w:val="16"/>
        </w:rPr>
        <w:t>haben, aus dem Markt gedrängt werden und die Wettbewerbsintensität somit weiter abnehmen.“ [EUWID - Europäischer Wirtschaftsdienst | 26.09.2024]</w:t>
      </w:r>
    </w:p>
  </w:footnote>
  <w:footnote w:id="4">
    <w:p w14:paraId="5E3E8C29" w14:textId="77777777" w:rsidR="00113B30" w:rsidRPr="00536670" w:rsidRDefault="00113B30" w:rsidP="00113B30">
      <w:pPr>
        <w:pStyle w:val="Funotentext"/>
        <w:rPr>
          <w:sz w:val="16"/>
          <w:szCs w:val="16"/>
        </w:rPr>
      </w:pPr>
      <w:r w:rsidRPr="00536670">
        <w:rPr>
          <w:rStyle w:val="Funotenzeichen"/>
          <w:sz w:val="16"/>
          <w:szCs w:val="16"/>
        </w:rPr>
        <w:footnoteRef/>
      </w:r>
      <w:r w:rsidRPr="00536670">
        <w:rPr>
          <w:sz w:val="16"/>
          <w:szCs w:val="16"/>
        </w:rPr>
        <w:t xml:space="preserve"> Titel der „Evaluation“ </w:t>
      </w:r>
      <w:proofErr w:type="gramStart"/>
      <w:r w:rsidRPr="00536670">
        <w:rPr>
          <w:sz w:val="16"/>
          <w:szCs w:val="16"/>
        </w:rPr>
        <w:t>UBA Texte</w:t>
      </w:r>
      <w:proofErr w:type="gramEnd"/>
      <w:r w:rsidRPr="00536670">
        <w:rPr>
          <w:sz w:val="16"/>
          <w:szCs w:val="16"/>
        </w:rPr>
        <w:t xml:space="preserve"> 47/2023 „</w:t>
      </w:r>
      <w:r w:rsidRPr="00536670">
        <w:rPr>
          <w:sz w:val="16"/>
          <w:szCs w:val="16"/>
          <w:u w:val="single"/>
        </w:rPr>
        <w:t>Erarbeitung von Grundlagen</w:t>
      </w:r>
      <w:r w:rsidRPr="00536670">
        <w:rPr>
          <w:sz w:val="16"/>
          <w:szCs w:val="16"/>
        </w:rPr>
        <w:t xml:space="preserve"> für die Evaluierung der Gewerbeabfallverordnung“ und „Ob und in welchem Umfang die Regelungen der </w:t>
      </w:r>
      <w:proofErr w:type="spellStart"/>
      <w:r w:rsidRPr="00536670">
        <w:rPr>
          <w:sz w:val="16"/>
          <w:szCs w:val="16"/>
        </w:rPr>
        <w:t>GewAbfV</w:t>
      </w:r>
      <w:proofErr w:type="spellEnd"/>
      <w:r w:rsidRPr="00536670">
        <w:rPr>
          <w:sz w:val="16"/>
          <w:szCs w:val="16"/>
        </w:rPr>
        <w:t xml:space="preserve"> hinsichtlich der Getrenntsammlung und stofflichen Verwertung gewerblicher Siedlungsabfälle in der Praxis hinreichend umgesetzt wurden, lässt sich nur sehr schwer abbilden. Die Gründe hierfür sind wie folgt: Es liegt keine Vollerhebung zum Abfallaufkommen und Verbleib bei den gewerblichen Abfallerzeugern vor.“  [ebd., S. 89] sowie „Es liegen keine aussagekräftigen und hinreichend vollständigen Dokumentationen über die Sammlung, Vorbehandlung, Verwertung und Entsorgung von gewerblichen Abfällen vor.“ [ebd., S. 90]</w:t>
      </w:r>
    </w:p>
  </w:footnote>
  <w:footnote w:id="5">
    <w:p w14:paraId="2093DA23" w14:textId="77777777" w:rsidR="00113B30" w:rsidRPr="00536670" w:rsidRDefault="00113B30" w:rsidP="00113B30">
      <w:pPr>
        <w:pStyle w:val="Funotentext"/>
        <w:rPr>
          <w:sz w:val="16"/>
          <w:szCs w:val="16"/>
        </w:rPr>
      </w:pPr>
      <w:r w:rsidRPr="00536670">
        <w:rPr>
          <w:rStyle w:val="Funotenzeichen"/>
          <w:sz w:val="16"/>
          <w:szCs w:val="16"/>
        </w:rPr>
        <w:footnoteRef/>
      </w:r>
      <w:r w:rsidRPr="00536670">
        <w:rPr>
          <w:sz w:val="16"/>
          <w:szCs w:val="16"/>
        </w:rPr>
        <w:t xml:space="preserve"> Der Normenkontrollrat hätte einen zusätzlichen Aufwand für die Betreiber der Anlagen festgestellt.  Dem Eintrag in Anlage 2 „Stellungnahme des Nationalen Normenkontrollrates, S. 56, I Zusammenfassung: Nutzen des Vorhabens“ können wir uns daher nur anschließen:</w:t>
      </w:r>
      <w:r>
        <w:rPr>
          <w:sz w:val="16"/>
          <w:szCs w:val="16"/>
        </w:rPr>
        <w:t xml:space="preserve"> </w:t>
      </w:r>
      <w:r w:rsidRPr="00536670">
        <w:rPr>
          <w:sz w:val="16"/>
          <w:szCs w:val="16"/>
        </w:rPr>
        <w:t>„Das Ressort hat keinen Nutzen dargestellt.“</w:t>
      </w:r>
    </w:p>
  </w:footnote>
  <w:footnote w:id="6">
    <w:p w14:paraId="63243100" w14:textId="77777777" w:rsidR="00113B30" w:rsidRPr="00420BAF" w:rsidRDefault="00113B30" w:rsidP="00113B30">
      <w:pPr>
        <w:pStyle w:val="Funotentext"/>
        <w:rPr>
          <w:sz w:val="16"/>
          <w:szCs w:val="16"/>
        </w:rPr>
      </w:pPr>
      <w:r w:rsidRPr="00420BAF">
        <w:rPr>
          <w:rStyle w:val="Funotenzeichen"/>
          <w:sz w:val="16"/>
          <w:szCs w:val="16"/>
        </w:rPr>
        <w:footnoteRef/>
      </w:r>
      <w:r w:rsidRPr="00420BAF">
        <w:rPr>
          <w:sz w:val="16"/>
          <w:szCs w:val="16"/>
        </w:rPr>
        <w:t xml:space="preserve"> „Nach den Sortieranalysen sind gemischte gewerbliche Siedlungsabfälle zu 27 Masseprozent stofflich verwertbar, werden aber derzeit nur zu 4 Masseprozent recycelt.“ [Drucksache 20/13950, S. 2] und dan</w:t>
      </w:r>
      <w:r>
        <w:rPr>
          <w:sz w:val="16"/>
          <w:szCs w:val="16"/>
        </w:rPr>
        <w:t>n</w:t>
      </w:r>
      <w:r w:rsidRPr="00420BAF">
        <w:rPr>
          <w:sz w:val="16"/>
          <w:szCs w:val="16"/>
        </w:rPr>
        <w:t xml:space="preserve"> muss eine Recyclingquote von mindestens 30 Prozent eingehalten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1329"/>
    <w:multiLevelType w:val="hybridMultilevel"/>
    <w:tmpl w:val="CA9C7D68"/>
    <w:lvl w:ilvl="0" w:tplc="5B367A9A">
      <w:start w:val="1"/>
      <w:numFmt w:val="lowerRoman"/>
      <w:pStyle w:val="berschrift1"/>
      <w:lvlText w:val="%1."/>
      <w:lvlJc w:val="right"/>
      <w:pPr>
        <w:ind w:left="2912" w:hanging="360"/>
      </w:pPr>
      <w:rPr>
        <w:rFonts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1" w15:restartNumberingAfterBreak="0">
    <w:nsid w:val="1AED2C8A"/>
    <w:multiLevelType w:val="hybridMultilevel"/>
    <w:tmpl w:val="B83C8A9E"/>
    <w:lvl w:ilvl="0" w:tplc="B1B609D8">
      <w:start w:val="1"/>
      <w:numFmt w:val="decimal"/>
      <w:pStyle w:val="berschrift2"/>
      <w:lvlText w:val="%1."/>
      <w:lvlJc w:val="left"/>
      <w:pPr>
        <w:ind w:left="2138" w:hanging="360"/>
      </w:p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2" w15:restartNumberingAfterBreak="0">
    <w:nsid w:val="30B969C1"/>
    <w:multiLevelType w:val="hybridMultilevel"/>
    <w:tmpl w:val="C07E4FFA"/>
    <w:lvl w:ilvl="0" w:tplc="922ADE9E">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853379"/>
    <w:multiLevelType w:val="hybridMultilevel"/>
    <w:tmpl w:val="B51C7C70"/>
    <w:lvl w:ilvl="0" w:tplc="42808610">
      <w:start w:val="1"/>
      <w:numFmt w:val="bullet"/>
      <w:pStyle w:val="Bulletpoints"/>
      <w:lvlText w:val=""/>
      <w:lvlJc w:val="left"/>
      <w:pPr>
        <w:ind w:left="1797" w:hanging="360"/>
      </w:pPr>
      <w:rPr>
        <w:rFonts w:ascii="Symbol" w:hAnsi="Symbol" w:hint="default"/>
      </w:rPr>
    </w:lvl>
    <w:lvl w:ilvl="1" w:tplc="04070003" w:tentative="1">
      <w:start w:val="1"/>
      <w:numFmt w:val="bullet"/>
      <w:lvlText w:val="o"/>
      <w:lvlJc w:val="left"/>
      <w:pPr>
        <w:ind w:left="2517" w:hanging="360"/>
      </w:pPr>
      <w:rPr>
        <w:rFonts w:ascii="Courier New" w:hAnsi="Courier New" w:cs="Courier New" w:hint="default"/>
      </w:rPr>
    </w:lvl>
    <w:lvl w:ilvl="2" w:tplc="04070005" w:tentative="1">
      <w:start w:val="1"/>
      <w:numFmt w:val="bullet"/>
      <w:lvlText w:val=""/>
      <w:lvlJc w:val="left"/>
      <w:pPr>
        <w:ind w:left="3237" w:hanging="360"/>
      </w:pPr>
      <w:rPr>
        <w:rFonts w:ascii="Wingdings" w:hAnsi="Wingdings" w:hint="default"/>
      </w:rPr>
    </w:lvl>
    <w:lvl w:ilvl="3" w:tplc="04070001" w:tentative="1">
      <w:start w:val="1"/>
      <w:numFmt w:val="bullet"/>
      <w:lvlText w:val=""/>
      <w:lvlJc w:val="left"/>
      <w:pPr>
        <w:ind w:left="3957" w:hanging="360"/>
      </w:pPr>
      <w:rPr>
        <w:rFonts w:ascii="Symbol" w:hAnsi="Symbol" w:hint="default"/>
      </w:rPr>
    </w:lvl>
    <w:lvl w:ilvl="4" w:tplc="04070003" w:tentative="1">
      <w:start w:val="1"/>
      <w:numFmt w:val="bullet"/>
      <w:lvlText w:val="o"/>
      <w:lvlJc w:val="left"/>
      <w:pPr>
        <w:ind w:left="4677" w:hanging="360"/>
      </w:pPr>
      <w:rPr>
        <w:rFonts w:ascii="Courier New" w:hAnsi="Courier New" w:cs="Courier New" w:hint="default"/>
      </w:rPr>
    </w:lvl>
    <w:lvl w:ilvl="5" w:tplc="04070005" w:tentative="1">
      <w:start w:val="1"/>
      <w:numFmt w:val="bullet"/>
      <w:lvlText w:val=""/>
      <w:lvlJc w:val="left"/>
      <w:pPr>
        <w:ind w:left="5397" w:hanging="360"/>
      </w:pPr>
      <w:rPr>
        <w:rFonts w:ascii="Wingdings" w:hAnsi="Wingdings" w:hint="default"/>
      </w:rPr>
    </w:lvl>
    <w:lvl w:ilvl="6" w:tplc="04070001" w:tentative="1">
      <w:start w:val="1"/>
      <w:numFmt w:val="bullet"/>
      <w:lvlText w:val=""/>
      <w:lvlJc w:val="left"/>
      <w:pPr>
        <w:ind w:left="6117" w:hanging="360"/>
      </w:pPr>
      <w:rPr>
        <w:rFonts w:ascii="Symbol" w:hAnsi="Symbol" w:hint="default"/>
      </w:rPr>
    </w:lvl>
    <w:lvl w:ilvl="7" w:tplc="04070003" w:tentative="1">
      <w:start w:val="1"/>
      <w:numFmt w:val="bullet"/>
      <w:lvlText w:val="o"/>
      <w:lvlJc w:val="left"/>
      <w:pPr>
        <w:ind w:left="6837" w:hanging="360"/>
      </w:pPr>
      <w:rPr>
        <w:rFonts w:ascii="Courier New" w:hAnsi="Courier New" w:cs="Courier New" w:hint="default"/>
      </w:rPr>
    </w:lvl>
    <w:lvl w:ilvl="8" w:tplc="04070005" w:tentative="1">
      <w:start w:val="1"/>
      <w:numFmt w:val="bullet"/>
      <w:lvlText w:val=""/>
      <w:lvlJc w:val="left"/>
      <w:pPr>
        <w:ind w:left="7557" w:hanging="360"/>
      </w:pPr>
      <w:rPr>
        <w:rFonts w:ascii="Wingdings" w:hAnsi="Wingdings" w:hint="default"/>
      </w:rPr>
    </w:lvl>
  </w:abstractNum>
  <w:abstractNum w:abstractNumId="4" w15:restartNumberingAfterBreak="0">
    <w:nsid w:val="44C454F8"/>
    <w:multiLevelType w:val="hybridMultilevel"/>
    <w:tmpl w:val="E9AC0F7C"/>
    <w:lvl w:ilvl="0" w:tplc="67FE0E1C">
      <w:start w:val="1"/>
      <w:numFmt w:val="bullet"/>
      <w:pStyle w:val="3Bulletpoints"/>
      <w:lvlText w:val=""/>
      <w:lvlJc w:val="left"/>
      <w:pPr>
        <w:ind w:left="2157" w:hanging="360"/>
      </w:pPr>
      <w:rPr>
        <w:rFonts w:ascii="Wingdings" w:hAnsi="Wingdings" w:hint="default"/>
      </w:rPr>
    </w:lvl>
    <w:lvl w:ilvl="1" w:tplc="04070003" w:tentative="1">
      <w:start w:val="1"/>
      <w:numFmt w:val="bullet"/>
      <w:lvlText w:val="o"/>
      <w:lvlJc w:val="left"/>
      <w:pPr>
        <w:ind w:left="2877" w:hanging="360"/>
      </w:pPr>
      <w:rPr>
        <w:rFonts w:ascii="Courier New" w:hAnsi="Courier New" w:cs="Courier New" w:hint="default"/>
      </w:rPr>
    </w:lvl>
    <w:lvl w:ilvl="2" w:tplc="04070005" w:tentative="1">
      <w:start w:val="1"/>
      <w:numFmt w:val="bullet"/>
      <w:lvlText w:val=""/>
      <w:lvlJc w:val="left"/>
      <w:pPr>
        <w:ind w:left="3597" w:hanging="360"/>
      </w:pPr>
      <w:rPr>
        <w:rFonts w:ascii="Wingdings" w:hAnsi="Wingdings" w:hint="default"/>
      </w:rPr>
    </w:lvl>
    <w:lvl w:ilvl="3" w:tplc="04070001" w:tentative="1">
      <w:start w:val="1"/>
      <w:numFmt w:val="bullet"/>
      <w:lvlText w:val=""/>
      <w:lvlJc w:val="left"/>
      <w:pPr>
        <w:ind w:left="4317" w:hanging="360"/>
      </w:pPr>
      <w:rPr>
        <w:rFonts w:ascii="Symbol" w:hAnsi="Symbol" w:hint="default"/>
      </w:rPr>
    </w:lvl>
    <w:lvl w:ilvl="4" w:tplc="04070003" w:tentative="1">
      <w:start w:val="1"/>
      <w:numFmt w:val="bullet"/>
      <w:lvlText w:val="o"/>
      <w:lvlJc w:val="left"/>
      <w:pPr>
        <w:ind w:left="5037" w:hanging="360"/>
      </w:pPr>
      <w:rPr>
        <w:rFonts w:ascii="Courier New" w:hAnsi="Courier New" w:cs="Courier New" w:hint="default"/>
      </w:rPr>
    </w:lvl>
    <w:lvl w:ilvl="5" w:tplc="04070005" w:tentative="1">
      <w:start w:val="1"/>
      <w:numFmt w:val="bullet"/>
      <w:lvlText w:val=""/>
      <w:lvlJc w:val="left"/>
      <w:pPr>
        <w:ind w:left="5757" w:hanging="360"/>
      </w:pPr>
      <w:rPr>
        <w:rFonts w:ascii="Wingdings" w:hAnsi="Wingdings" w:hint="default"/>
      </w:rPr>
    </w:lvl>
    <w:lvl w:ilvl="6" w:tplc="04070001" w:tentative="1">
      <w:start w:val="1"/>
      <w:numFmt w:val="bullet"/>
      <w:lvlText w:val=""/>
      <w:lvlJc w:val="left"/>
      <w:pPr>
        <w:ind w:left="6477" w:hanging="360"/>
      </w:pPr>
      <w:rPr>
        <w:rFonts w:ascii="Symbol" w:hAnsi="Symbol" w:hint="default"/>
      </w:rPr>
    </w:lvl>
    <w:lvl w:ilvl="7" w:tplc="04070003" w:tentative="1">
      <w:start w:val="1"/>
      <w:numFmt w:val="bullet"/>
      <w:lvlText w:val="o"/>
      <w:lvlJc w:val="left"/>
      <w:pPr>
        <w:ind w:left="7197" w:hanging="360"/>
      </w:pPr>
      <w:rPr>
        <w:rFonts w:ascii="Courier New" w:hAnsi="Courier New" w:cs="Courier New" w:hint="default"/>
      </w:rPr>
    </w:lvl>
    <w:lvl w:ilvl="8" w:tplc="04070005" w:tentative="1">
      <w:start w:val="1"/>
      <w:numFmt w:val="bullet"/>
      <w:lvlText w:val=""/>
      <w:lvlJc w:val="left"/>
      <w:pPr>
        <w:ind w:left="7917" w:hanging="360"/>
      </w:pPr>
      <w:rPr>
        <w:rFonts w:ascii="Wingdings" w:hAnsi="Wingdings" w:hint="default"/>
      </w:rPr>
    </w:lvl>
  </w:abstractNum>
  <w:abstractNum w:abstractNumId="5" w15:restartNumberingAfterBreak="0">
    <w:nsid w:val="47A011CA"/>
    <w:multiLevelType w:val="hybridMultilevel"/>
    <w:tmpl w:val="0AD28AC2"/>
    <w:lvl w:ilvl="0" w:tplc="20AA87FC">
      <w:start w:val="1"/>
      <w:numFmt w:val="bullet"/>
      <w:pStyle w:val="2Bulletpoints"/>
      <w:lvlText w:val="o"/>
      <w:lvlJc w:val="left"/>
      <w:pPr>
        <w:ind w:left="2571" w:hanging="360"/>
      </w:pPr>
      <w:rPr>
        <w:rFonts w:ascii="Courier New" w:hAnsi="Courier New" w:cs="Courier New" w:hint="default"/>
      </w:rPr>
    </w:lvl>
    <w:lvl w:ilvl="1" w:tplc="04070003" w:tentative="1">
      <w:start w:val="1"/>
      <w:numFmt w:val="bullet"/>
      <w:lvlText w:val="o"/>
      <w:lvlJc w:val="left"/>
      <w:pPr>
        <w:ind w:left="2877" w:hanging="360"/>
      </w:pPr>
      <w:rPr>
        <w:rFonts w:ascii="Courier New" w:hAnsi="Courier New" w:cs="Courier New" w:hint="default"/>
      </w:rPr>
    </w:lvl>
    <w:lvl w:ilvl="2" w:tplc="04070005" w:tentative="1">
      <w:start w:val="1"/>
      <w:numFmt w:val="bullet"/>
      <w:lvlText w:val=""/>
      <w:lvlJc w:val="left"/>
      <w:pPr>
        <w:ind w:left="3597" w:hanging="360"/>
      </w:pPr>
      <w:rPr>
        <w:rFonts w:ascii="Wingdings" w:hAnsi="Wingdings" w:hint="default"/>
      </w:rPr>
    </w:lvl>
    <w:lvl w:ilvl="3" w:tplc="04070001" w:tentative="1">
      <w:start w:val="1"/>
      <w:numFmt w:val="bullet"/>
      <w:lvlText w:val=""/>
      <w:lvlJc w:val="left"/>
      <w:pPr>
        <w:ind w:left="4317" w:hanging="360"/>
      </w:pPr>
      <w:rPr>
        <w:rFonts w:ascii="Symbol" w:hAnsi="Symbol" w:hint="default"/>
      </w:rPr>
    </w:lvl>
    <w:lvl w:ilvl="4" w:tplc="04070003" w:tentative="1">
      <w:start w:val="1"/>
      <w:numFmt w:val="bullet"/>
      <w:lvlText w:val="o"/>
      <w:lvlJc w:val="left"/>
      <w:pPr>
        <w:ind w:left="5037" w:hanging="360"/>
      </w:pPr>
      <w:rPr>
        <w:rFonts w:ascii="Courier New" w:hAnsi="Courier New" w:cs="Courier New" w:hint="default"/>
      </w:rPr>
    </w:lvl>
    <w:lvl w:ilvl="5" w:tplc="04070005" w:tentative="1">
      <w:start w:val="1"/>
      <w:numFmt w:val="bullet"/>
      <w:lvlText w:val=""/>
      <w:lvlJc w:val="left"/>
      <w:pPr>
        <w:ind w:left="5757" w:hanging="360"/>
      </w:pPr>
      <w:rPr>
        <w:rFonts w:ascii="Wingdings" w:hAnsi="Wingdings" w:hint="default"/>
      </w:rPr>
    </w:lvl>
    <w:lvl w:ilvl="6" w:tplc="04070001" w:tentative="1">
      <w:start w:val="1"/>
      <w:numFmt w:val="bullet"/>
      <w:lvlText w:val=""/>
      <w:lvlJc w:val="left"/>
      <w:pPr>
        <w:ind w:left="6477" w:hanging="360"/>
      </w:pPr>
      <w:rPr>
        <w:rFonts w:ascii="Symbol" w:hAnsi="Symbol" w:hint="default"/>
      </w:rPr>
    </w:lvl>
    <w:lvl w:ilvl="7" w:tplc="04070003" w:tentative="1">
      <w:start w:val="1"/>
      <w:numFmt w:val="bullet"/>
      <w:lvlText w:val="o"/>
      <w:lvlJc w:val="left"/>
      <w:pPr>
        <w:ind w:left="7197" w:hanging="360"/>
      </w:pPr>
      <w:rPr>
        <w:rFonts w:ascii="Courier New" w:hAnsi="Courier New" w:cs="Courier New" w:hint="default"/>
      </w:rPr>
    </w:lvl>
    <w:lvl w:ilvl="8" w:tplc="04070005" w:tentative="1">
      <w:start w:val="1"/>
      <w:numFmt w:val="bullet"/>
      <w:lvlText w:val=""/>
      <w:lvlJc w:val="left"/>
      <w:pPr>
        <w:ind w:left="7917" w:hanging="360"/>
      </w:pPr>
      <w:rPr>
        <w:rFonts w:ascii="Wingdings" w:hAnsi="Wingdings" w:hint="default"/>
      </w:rPr>
    </w:lvl>
  </w:abstractNum>
  <w:abstractNum w:abstractNumId="6" w15:restartNumberingAfterBreak="0">
    <w:nsid w:val="52AA0DD5"/>
    <w:multiLevelType w:val="hybridMultilevel"/>
    <w:tmpl w:val="BB785C90"/>
    <w:lvl w:ilvl="0" w:tplc="183C014C">
      <w:start w:val="1"/>
      <w:numFmt w:val="decimal"/>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38231295">
    <w:abstractNumId w:val="3"/>
  </w:num>
  <w:num w:numId="2" w16cid:durableId="1385913853">
    <w:abstractNumId w:val="5"/>
  </w:num>
  <w:num w:numId="3" w16cid:durableId="1166630045">
    <w:abstractNumId w:val="4"/>
  </w:num>
  <w:num w:numId="4" w16cid:durableId="705714526">
    <w:abstractNumId w:val="0"/>
  </w:num>
  <w:num w:numId="5" w16cid:durableId="1781531923">
    <w:abstractNumId w:val="0"/>
  </w:num>
  <w:num w:numId="6" w16cid:durableId="1252589766">
    <w:abstractNumId w:val="0"/>
  </w:num>
  <w:num w:numId="7" w16cid:durableId="1841693454">
    <w:abstractNumId w:val="1"/>
  </w:num>
  <w:num w:numId="8" w16cid:durableId="85466864">
    <w:abstractNumId w:val="3"/>
  </w:num>
  <w:num w:numId="9" w16cid:durableId="2117551348">
    <w:abstractNumId w:val="1"/>
  </w:num>
  <w:num w:numId="10" w16cid:durableId="1736705784">
    <w:abstractNumId w:val="5"/>
  </w:num>
  <w:num w:numId="11" w16cid:durableId="174155923">
    <w:abstractNumId w:val="0"/>
  </w:num>
  <w:num w:numId="12" w16cid:durableId="887495435">
    <w:abstractNumId w:val="0"/>
  </w:num>
  <w:num w:numId="13" w16cid:durableId="1307274367">
    <w:abstractNumId w:val="6"/>
  </w:num>
  <w:num w:numId="14" w16cid:durableId="152208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D0"/>
    <w:rsid w:val="000367D9"/>
    <w:rsid w:val="00113B30"/>
    <w:rsid w:val="00281EFF"/>
    <w:rsid w:val="0028594D"/>
    <w:rsid w:val="00353BBA"/>
    <w:rsid w:val="00540C4A"/>
    <w:rsid w:val="00787C2B"/>
    <w:rsid w:val="00791005"/>
    <w:rsid w:val="0090484A"/>
    <w:rsid w:val="00A57939"/>
    <w:rsid w:val="00AA134E"/>
    <w:rsid w:val="00B80DB8"/>
    <w:rsid w:val="00CB7178"/>
    <w:rsid w:val="00D232D0"/>
    <w:rsid w:val="00F12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C9E8"/>
  <w15:chartTrackingRefBased/>
  <w15:docId w15:val="{DC6C680A-E4FE-417E-A13D-F32021B3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32D0"/>
  </w:style>
  <w:style w:type="paragraph" w:styleId="berschrift1">
    <w:name w:val="heading 1"/>
    <w:basedOn w:val="Standard"/>
    <w:next w:val="Standard"/>
    <w:link w:val="berschrift1Zchn"/>
    <w:autoRedefine/>
    <w:uiPriority w:val="9"/>
    <w:qFormat/>
    <w:rsid w:val="000367D9"/>
    <w:pPr>
      <w:keepNext/>
      <w:keepLines/>
      <w:numPr>
        <w:numId w:val="6"/>
      </w:numPr>
      <w:spacing w:before="360" w:after="120"/>
      <w:ind w:left="720"/>
      <w:outlineLvl w:val="0"/>
    </w:pPr>
    <w:rPr>
      <w:rFonts w:eastAsiaTheme="majorEastAsia" w:cstheme="majorBidi"/>
      <w:b/>
      <w:sz w:val="24"/>
      <w:szCs w:val="40"/>
    </w:rPr>
  </w:style>
  <w:style w:type="paragraph" w:styleId="berschrift2">
    <w:name w:val="heading 2"/>
    <w:aliases w:val="Anhang"/>
    <w:basedOn w:val="Standard"/>
    <w:next w:val="Standard"/>
    <w:link w:val="berschrift2Zchn"/>
    <w:autoRedefine/>
    <w:uiPriority w:val="9"/>
    <w:unhideWhenUsed/>
    <w:qFormat/>
    <w:rsid w:val="000367D9"/>
    <w:pPr>
      <w:keepNext/>
      <w:keepLines/>
      <w:numPr>
        <w:numId w:val="7"/>
      </w:numPr>
      <w:spacing w:before="160" w:after="80"/>
      <w:ind w:left="720"/>
      <w:outlineLvl w:val="1"/>
    </w:pPr>
    <w:rPr>
      <w:rFonts w:eastAsiaTheme="majorEastAsia" w:cstheme="majorBidi"/>
      <w:b/>
      <w:sz w:val="24"/>
      <w:szCs w:val="32"/>
    </w:rPr>
  </w:style>
  <w:style w:type="paragraph" w:styleId="berschrift3">
    <w:name w:val="heading 3"/>
    <w:aliases w:val="Überschrift /Uhrzeit"/>
    <w:basedOn w:val="berschrift7"/>
    <w:next w:val="Standard"/>
    <w:link w:val="berschrift3Zchn"/>
    <w:autoRedefine/>
    <w:uiPriority w:val="9"/>
    <w:unhideWhenUsed/>
    <w:qFormat/>
    <w:rsid w:val="00B80DB8"/>
    <w:pPr>
      <w:framePr w:hSpace="340" w:wrap="around" w:hAnchor="text" w:y="-20"/>
      <w:suppressAutoHyphens/>
      <w:autoSpaceDN w:val="0"/>
      <w:spacing w:before="160" w:after="80" w:line="256" w:lineRule="auto"/>
      <w:outlineLvl w:val="2"/>
    </w:pPr>
    <w:rPr>
      <w:rFonts w:ascii="Verdana" w:eastAsia="Times New Roman" w:hAnsi="Verdana" w:cs="Times New Roman"/>
      <w:color w:val="0F4761"/>
      <w:kern w:val="3"/>
      <w:sz w:val="24"/>
      <w:szCs w:val="28"/>
    </w:rPr>
  </w:style>
  <w:style w:type="paragraph" w:styleId="berschrift4">
    <w:name w:val="heading 4"/>
    <w:basedOn w:val="Standard"/>
    <w:next w:val="Standard"/>
    <w:link w:val="berschrift4Zchn"/>
    <w:uiPriority w:val="9"/>
    <w:semiHidden/>
    <w:unhideWhenUsed/>
    <w:qFormat/>
    <w:rsid w:val="00D232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32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32D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80DB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32D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32D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Aufzählung"/>
    <w:basedOn w:val="Standard"/>
    <w:uiPriority w:val="34"/>
    <w:qFormat/>
    <w:rsid w:val="00540C4A"/>
    <w:pPr>
      <w:spacing w:line="360" w:lineRule="auto"/>
      <w:contextualSpacing/>
    </w:pPr>
  </w:style>
  <w:style w:type="character" w:customStyle="1" w:styleId="berschrift1Zchn">
    <w:name w:val="Überschrift 1 Zchn"/>
    <w:basedOn w:val="Absatz-Standardschriftart"/>
    <w:link w:val="berschrift1"/>
    <w:uiPriority w:val="9"/>
    <w:rsid w:val="000367D9"/>
    <w:rPr>
      <w:rFonts w:ascii="Verdana" w:eastAsiaTheme="majorEastAsia" w:hAnsi="Verdana" w:cstheme="majorBidi"/>
      <w:b/>
      <w:sz w:val="24"/>
      <w:szCs w:val="40"/>
    </w:rPr>
  </w:style>
  <w:style w:type="paragraph" w:customStyle="1" w:styleId="Bulletpoints">
    <w:name w:val="Bulletpoints"/>
    <w:basedOn w:val="Standard"/>
    <w:link w:val="BulletpointsZchn"/>
    <w:autoRedefine/>
    <w:qFormat/>
    <w:rsid w:val="000367D9"/>
    <w:pPr>
      <w:numPr>
        <w:numId w:val="1"/>
      </w:numPr>
      <w:ind w:left="1775" w:hanging="357"/>
    </w:pPr>
  </w:style>
  <w:style w:type="character" w:customStyle="1" w:styleId="BulletpointsZchn">
    <w:name w:val="Bulletpoints Zchn"/>
    <w:basedOn w:val="Absatz-Standardschriftart"/>
    <w:link w:val="Bulletpoints"/>
    <w:rsid w:val="000367D9"/>
    <w:rPr>
      <w:rFonts w:ascii="Verdana" w:hAnsi="Verdana"/>
    </w:rPr>
  </w:style>
  <w:style w:type="paragraph" w:customStyle="1" w:styleId="2Bulletpoints">
    <w:name w:val="2 Bulletpoints"/>
    <w:basedOn w:val="Bulletpoints"/>
    <w:link w:val="2BulletpointsZchn"/>
    <w:autoRedefine/>
    <w:qFormat/>
    <w:rsid w:val="000367D9"/>
    <w:pPr>
      <w:numPr>
        <w:numId w:val="2"/>
      </w:numPr>
      <w:ind w:left="2342" w:hanging="357"/>
    </w:pPr>
  </w:style>
  <w:style w:type="character" w:customStyle="1" w:styleId="2BulletpointsZchn">
    <w:name w:val="2 Bulletpoints Zchn"/>
    <w:basedOn w:val="BulletpointsZchn"/>
    <w:link w:val="2Bulletpoints"/>
    <w:rsid w:val="000367D9"/>
    <w:rPr>
      <w:rFonts w:ascii="Verdana" w:hAnsi="Verdana"/>
    </w:rPr>
  </w:style>
  <w:style w:type="paragraph" w:customStyle="1" w:styleId="3Bulletpoints">
    <w:name w:val="3 Bulletpoints"/>
    <w:basedOn w:val="Bulletpoints"/>
    <w:link w:val="3BulletpointsZchn"/>
    <w:qFormat/>
    <w:rsid w:val="000367D9"/>
    <w:pPr>
      <w:numPr>
        <w:numId w:val="3"/>
      </w:numPr>
      <w:ind w:left="2795" w:hanging="357"/>
    </w:pPr>
  </w:style>
  <w:style w:type="character" w:customStyle="1" w:styleId="3BulletpointsZchn">
    <w:name w:val="3 Bulletpoints Zchn"/>
    <w:basedOn w:val="BulletpointsZchn"/>
    <w:link w:val="3Bulletpoints"/>
    <w:rsid w:val="000367D9"/>
    <w:rPr>
      <w:rFonts w:ascii="Verdana" w:hAnsi="Verdana"/>
    </w:rPr>
  </w:style>
  <w:style w:type="paragraph" w:customStyle="1" w:styleId="1NummerierteListe">
    <w:name w:val="1. Nummerierte Liste"/>
    <w:basedOn w:val="Listenabsatz"/>
    <w:link w:val="1NummerierteListeZchn"/>
    <w:autoRedefine/>
    <w:qFormat/>
    <w:rsid w:val="000367D9"/>
    <w:pPr>
      <w:ind w:left="1775" w:hanging="357"/>
    </w:pPr>
  </w:style>
  <w:style w:type="character" w:customStyle="1" w:styleId="1NummerierteListeZchn">
    <w:name w:val="1. Nummerierte Liste Zchn"/>
    <w:basedOn w:val="Absatz-Standardschriftart"/>
    <w:link w:val="1NummerierteListe"/>
    <w:rsid w:val="000367D9"/>
    <w:rPr>
      <w:rFonts w:ascii="Verdana" w:hAnsi="Verdana"/>
    </w:rPr>
  </w:style>
  <w:style w:type="paragraph" w:customStyle="1" w:styleId="2NummerierteListe">
    <w:name w:val="2. Nummerierte Liste"/>
    <w:basedOn w:val="Listenabsatz"/>
    <w:link w:val="2NummerierteListeZchn"/>
    <w:autoRedefine/>
    <w:qFormat/>
    <w:rsid w:val="000367D9"/>
    <w:pPr>
      <w:ind w:left="2342" w:hanging="357"/>
    </w:pPr>
  </w:style>
  <w:style w:type="character" w:customStyle="1" w:styleId="2NummerierteListeZchn">
    <w:name w:val="2. Nummerierte Liste Zchn"/>
    <w:basedOn w:val="Absatz-Standardschriftart"/>
    <w:link w:val="2NummerierteListe"/>
    <w:rsid w:val="000367D9"/>
    <w:rPr>
      <w:rFonts w:ascii="Verdana" w:hAnsi="Verdana"/>
    </w:rPr>
  </w:style>
  <w:style w:type="paragraph" w:customStyle="1" w:styleId="3Nummerierung">
    <w:name w:val="3 Nummerierung"/>
    <w:basedOn w:val="Listenabsatz"/>
    <w:link w:val="3NummerierungZchn"/>
    <w:autoRedefine/>
    <w:qFormat/>
    <w:rsid w:val="000367D9"/>
    <w:pPr>
      <w:ind w:left="2912" w:hanging="360"/>
    </w:pPr>
  </w:style>
  <w:style w:type="character" w:customStyle="1" w:styleId="3NummerierungZchn">
    <w:name w:val="3 Nummerierung Zchn"/>
    <w:basedOn w:val="Absatz-Standardschriftart"/>
    <w:link w:val="3Nummerierung"/>
    <w:rsid w:val="000367D9"/>
    <w:rPr>
      <w:rFonts w:ascii="Verdana" w:hAnsi="Verdana"/>
    </w:rPr>
  </w:style>
  <w:style w:type="character" w:customStyle="1" w:styleId="berschrift2Zchn">
    <w:name w:val="Überschrift 2 Zchn"/>
    <w:aliases w:val="Anhang Zchn"/>
    <w:basedOn w:val="Absatz-Standardschriftart"/>
    <w:link w:val="berschrift2"/>
    <w:uiPriority w:val="9"/>
    <w:rsid w:val="000367D9"/>
    <w:rPr>
      <w:rFonts w:ascii="Verdana" w:eastAsiaTheme="majorEastAsia" w:hAnsi="Verdana" w:cstheme="majorBidi"/>
      <w:b/>
      <w:sz w:val="24"/>
      <w:szCs w:val="32"/>
    </w:rPr>
  </w:style>
  <w:style w:type="paragraph" w:styleId="Titel">
    <w:name w:val="Title"/>
    <w:basedOn w:val="Standard"/>
    <w:next w:val="Standard"/>
    <w:link w:val="TitelZchn"/>
    <w:autoRedefine/>
    <w:uiPriority w:val="10"/>
    <w:qFormat/>
    <w:rsid w:val="000367D9"/>
    <w:pPr>
      <w:spacing w:after="240" w:line="240" w:lineRule="auto"/>
      <w:contextualSpacing/>
    </w:pPr>
    <w:rPr>
      <w:rFonts w:eastAsiaTheme="majorEastAsia" w:cstheme="majorBidi"/>
      <w:b/>
      <w:color w:val="8DD873" w:themeColor="accent6" w:themeTint="99"/>
      <w:spacing w:val="-10"/>
      <w:kern w:val="28"/>
      <w:sz w:val="24"/>
      <w:szCs w:val="56"/>
    </w:rPr>
  </w:style>
  <w:style w:type="character" w:customStyle="1" w:styleId="TitelZchn">
    <w:name w:val="Titel Zchn"/>
    <w:basedOn w:val="Absatz-Standardschriftart"/>
    <w:link w:val="Titel"/>
    <w:uiPriority w:val="10"/>
    <w:rsid w:val="000367D9"/>
    <w:rPr>
      <w:rFonts w:ascii="Verdana" w:eastAsiaTheme="majorEastAsia" w:hAnsi="Verdana" w:cstheme="majorBidi"/>
      <w:b/>
      <w:color w:val="8DD873" w:themeColor="accent6" w:themeTint="99"/>
      <w:spacing w:val="-10"/>
      <w:kern w:val="28"/>
      <w:sz w:val="24"/>
      <w:szCs w:val="56"/>
    </w:rPr>
  </w:style>
  <w:style w:type="character" w:customStyle="1" w:styleId="berschrift3Zchn">
    <w:name w:val="Überschrift 3 Zchn"/>
    <w:aliases w:val="Überschrift /Uhrzeit Zchn"/>
    <w:basedOn w:val="Absatz-Standardschriftart"/>
    <w:link w:val="berschrift3"/>
    <w:uiPriority w:val="9"/>
    <w:rsid w:val="00B80DB8"/>
    <w:rPr>
      <w:rFonts w:ascii="Verdana" w:eastAsia="Times New Roman" w:hAnsi="Verdana" w:cs="Times New Roman"/>
      <w:color w:val="0F4761"/>
      <w:kern w:val="3"/>
      <w:sz w:val="24"/>
      <w:szCs w:val="28"/>
    </w:rPr>
  </w:style>
  <w:style w:type="character" w:customStyle="1" w:styleId="berschrift7Zchn">
    <w:name w:val="Überschrift 7 Zchn"/>
    <w:basedOn w:val="Absatz-Standardschriftart"/>
    <w:link w:val="berschrift7"/>
    <w:uiPriority w:val="9"/>
    <w:semiHidden/>
    <w:rsid w:val="00B80DB8"/>
    <w:rPr>
      <w:rFonts w:eastAsiaTheme="majorEastAsia" w:cstheme="majorBidi"/>
      <w:color w:val="595959" w:themeColor="text1" w:themeTint="A6"/>
    </w:rPr>
  </w:style>
  <w:style w:type="character" w:customStyle="1" w:styleId="berschrift4Zchn">
    <w:name w:val="Überschrift 4 Zchn"/>
    <w:basedOn w:val="Absatz-Standardschriftart"/>
    <w:link w:val="berschrift4"/>
    <w:uiPriority w:val="9"/>
    <w:semiHidden/>
    <w:rsid w:val="00D232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32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32D0"/>
    <w:rPr>
      <w:rFonts w:eastAsiaTheme="majorEastAsia" w:cstheme="majorBidi"/>
      <w:i/>
      <w:iCs/>
      <w:color w:val="595959" w:themeColor="text1" w:themeTint="A6"/>
    </w:rPr>
  </w:style>
  <w:style w:type="character" w:customStyle="1" w:styleId="berschrift8Zchn">
    <w:name w:val="Überschrift 8 Zchn"/>
    <w:basedOn w:val="Absatz-Standardschriftart"/>
    <w:link w:val="berschrift8"/>
    <w:uiPriority w:val="9"/>
    <w:semiHidden/>
    <w:rsid w:val="00D232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32D0"/>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D232D0"/>
    <w:pPr>
      <w:numPr>
        <w:ilvl w:val="1"/>
      </w:numPr>
      <w:ind w:left="1077"/>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32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32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232D0"/>
    <w:rPr>
      <w:rFonts w:ascii="Verdana" w:hAnsi="Verdana"/>
      <w:i/>
      <w:iCs/>
      <w:color w:val="404040" w:themeColor="text1" w:themeTint="BF"/>
    </w:rPr>
  </w:style>
  <w:style w:type="character" w:styleId="IntensiveHervorhebung">
    <w:name w:val="Intense Emphasis"/>
    <w:basedOn w:val="Absatz-Standardschriftart"/>
    <w:uiPriority w:val="21"/>
    <w:qFormat/>
    <w:rsid w:val="00D232D0"/>
    <w:rPr>
      <w:i/>
      <w:iCs/>
      <w:color w:val="0F4761" w:themeColor="accent1" w:themeShade="BF"/>
    </w:rPr>
  </w:style>
  <w:style w:type="paragraph" w:styleId="IntensivesZitat">
    <w:name w:val="Intense Quote"/>
    <w:basedOn w:val="Standard"/>
    <w:next w:val="Standard"/>
    <w:link w:val="IntensivesZitatZchn"/>
    <w:uiPriority w:val="30"/>
    <w:qFormat/>
    <w:rsid w:val="00D23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32D0"/>
    <w:rPr>
      <w:rFonts w:ascii="Verdana" w:hAnsi="Verdana"/>
      <w:i/>
      <w:iCs/>
      <w:color w:val="0F4761" w:themeColor="accent1" w:themeShade="BF"/>
    </w:rPr>
  </w:style>
  <w:style w:type="character" w:styleId="IntensiverVerweis">
    <w:name w:val="Intense Reference"/>
    <w:basedOn w:val="Absatz-Standardschriftart"/>
    <w:uiPriority w:val="32"/>
    <w:qFormat/>
    <w:rsid w:val="00D232D0"/>
    <w:rPr>
      <w:b/>
      <w:bCs/>
      <w:smallCaps/>
      <w:color w:val="0F4761" w:themeColor="accent1" w:themeShade="BF"/>
      <w:spacing w:val="5"/>
    </w:rPr>
  </w:style>
  <w:style w:type="paragraph" w:styleId="Funotentext">
    <w:name w:val="footnote text"/>
    <w:basedOn w:val="Standard"/>
    <w:link w:val="FunotentextZchn"/>
    <w:uiPriority w:val="99"/>
    <w:semiHidden/>
    <w:unhideWhenUsed/>
    <w:rsid w:val="00D232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232D0"/>
    <w:rPr>
      <w:sz w:val="20"/>
      <w:szCs w:val="20"/>
    </w:rPr>
  </w:style>
  <w:style w:type="character" w:styleId="Funotenzeichen">
    <w:name w:val="footnote reference"/>
    <w:basedOn w:val="Absatz-Standardschriftart"/>
    <w:uiPriority w:val="99"/>
    <w:semiHidden/>
    <w:unhideWhenUsed/>
    <w:rsid w:val="00D232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2358</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Brehmer-Kohn</dc:creator>
  <cp:keywords/>
  <dc:description/>
  <cp:lastModifiedBy>Gabriele Brehmer-Kohn</cp:lastModifiedBy>
  <cp:revision>2</cp:revision>
  <dcterms:created xsi:type="dcterms:W3CDTF">2024-11-29T13:32:00Z</dcterms:created>
  <dcterms:modified xsi:type="dcterms:W3CDTF">2024-11-29T13:32:00Z</dcterms:modified>
</cp:coreProperties>
</file>